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center"/>
        <w:rPr>
          <w:rFonts w:hint="default" w:ascii="Calibri" w:hAnsi="宋体" w:eastAsia="宋体"/>
          <w:b/>
          <w:color w:val="auto"/>
          <w:position w:val="0"/>
          <w:sz w:val="36"/>
          <w:szCs w:val="36"/>
        </w:rPr>
      </w:pPr>
      <w:bookmarkStart w:id="0" w:name="_Hlt101233737"/>
      <w:bookmarkEnd w:id="0"/>
      <w:bookmarkStart w:id="1" w:name="_Hlt101843627"/>
      <w:bookmarkEnd w:id="1"/>
      <w:r>
        <w:rPr>
          <w:rFonts w:hint="default" w:ascii="Calibri" w:hAnsi="宋体" w:eastAsia="宋体"/>
          <w:b/>
          <w:color w:val="auto"/>
          <w:position w:val="0"/>
          <w:sz w:val="36"/>
          <w:szCs w:val="36"/>
        </w:rPr>
        <w:t>成都市龙泉驿区妇幼保健院</w:t>
      </w: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center"/>
        <w:rPr>
          <w:rFonts w:hint="eastAsia" w:ascii="Calibri" w:hAnsi="宋体" w:eastAsia="宋体"/>
          <w:b/>
          <w:color w:val="auto"/>
          <w:position w:val="0"/>
          <w:sz w:val="36"/>
          <w:szCs w:val="36"/>
          <w:lang w:eastAsia="zh-CN"/>
        </w:rPr>
      </w:pPr>
      <w:r>
        <w:rPr>
          <w:rFonts w:hint="eastAsia" w:hAnsi="宋体"/>
          <w:b/>
          <w:color w:val="auto"/>
          <w:position w:val="0"/>
          <w:sz w:val="36"/>
          <w:szCs w:val="36"/>
          <w:lang w:eastAsia="zh-CN"/>
        </w:rPr>
        <w:t>固定条码扫描器</w:t>
      </w:r>
      <w:r>
        <w:rPr>
          <w:rFonts w:hint="default" w:ascii="Calibri" w:hAnsi="宋体" w:eastAsia="宋体"/>
          <w:b/>
          <w:color w:val="auto"/>
          <w:position w:val="0"/>
          <w:sz w:val="36"/>
          <w:szCs w:val="36"/>
        </w:rPr>
        <w:t>采购项目比选</w:t>
      </w:r>
      <w:r>
        <w:rPr>
          <w:rFonts w:hint="eastAsia" w:hAnsi="宋体"/>
          <w:b/>
          <w:color w:val="auto"/>
          <w:position w:val="0"/>
          <w:sz w:val="36"/>
          <w:szCs w:val="36"/>
          <w:lang w:eastAsia="zh-CN"/>
        </w:rPr>
        <w:t>公告</w:t>
      </w:r>
    </w:p>
    <w:p>
      <w:pPr>
        <w:numPr>
          <w:ilvl w:val="0"/>
          <w:numId w:val="1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项目名称：</w:t>
      </w:r>
      <w:r>
        <w:rPr>
          <w:rFonts w:hint="eastAsia" w:hAnsi="宋体"/>
          <w:color w:val="auto"/>
          <w:position w:val="0"/>
          <w:sz w:val="30"/>
          <w:szCs w:val="30"/>
          <w:lang w:eastAsia="zh-CN"/>
        </w:rPr>
        <w:t>固定条码扫描器</w:t>
      </w:r>
    </w:p>
    <w:p>
      <w:pPr>
        <w:numPr>
          <w:ilvl w:val="0"/>
          <w:numId w:val="1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项目业主：成都市龙泉驿区妇幼保健院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三、项目施工地：龙泉玉扬路383号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四、项目要求： 项目最高限价</w:t>
      </w: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22000.00</w:t>
      </w: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元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eastAsia" w:ascii="Calibri" w:hAnsi="宋体" w:eastAsia="宋体"/>
          <w:color w:val="auto"/>
          <w:position w:val="0"/>
          <w:sz w:val="30"/>
          <w:szCs w:val="30"/>
          <w:lang w:eastAsia="zh-CN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1、货物及相关技术参数要求详见附件</w:t>
      </w:r>
      <w:r>
        <w:rPr>
          <w:rFonts w:hint="eastAsia" w:hAnsi="宋体"/>
          <w:color w:val="auto"/>
          <w:position w:val="0"/>
          <w:sz w:val="30"/>
          <w:szCs w:val="30"/>
          <w:lang w:eastAsia="zh-CN"/>
        </w:rPr>
        <w:t>。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2、供应商在报价时须注明投报的品牌、型号、配置及相对应的技术参数。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3、中标供应商提供的产品必须是原厂原装正品。外包装箱和产品序列号必须完整无缺，所有设备的外包装箱未经采购单位验收，不得私自开箱安装（或拆封），否则采购单位有权拒收。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4、供应商须在中选之日起15日内完成供货，包货物运输安装。</w:t>
      </w:r>
    </w:p>
    <w:p>
      <w:pPr>
        <w:pageBreakBefore w:val="0"/>
        <w:numPr>
          <w:ilvl w:val="0"/>
          <w:numId w:val="0"/>
        </w:numPr>
        <w:autoSpaceDE/>
        <w:autoSpaceDN/>
        <w:bidi w:val="0"/>
        <w:snapToGrid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5、售后服务：质保期为验收合格后</w:t>
      </w:r>
      <w:r>
        <w:rPr>
          <w:rFonts w:hint="eastAsia" w:hAnsi="宋体"/>
          <w:color w:val="auto"/>
          <w:position w:val="0"/>
          <w:sz w:val="30"/>
          <w:szCs w:val="30"/>
          <w:u w:val="single"/>
          <w:lang w:eastAsia="zh-CN"/>
        </w:rPr>
        <w:t>壹</w:t>
      </w: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年，质保期内出现质量问题，乙方在接到通知后 2 小时内响应到场， 48 小时内完成维修或更换，并承担修理调换的费用；如货物经乙方 3 次维修仍不能达到本合同约定的质量标准，视作乙方未能按时交货，甲方有权退货并追究乙方的违约责任。</w:t>
      </w:r>
    </w:p>
    <w:p>
      <w:pPr>
        <w:pageBreakBefore w:val="0"/>
        <w:numPr>
          <w:ilvl w:val="0"/>
          <w:numId w:val="0"/>
        </w:numPr>
        <w:autoSpaceDE/>
        <w:autoSpaceDN/>
        <w:bidi w:val="0"/>
        <w:snapToGrid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6、付款方式：货到安装并验收合格后付合同金额的90%，剩余10%作为质保金在质保期满一年后7个工作日内支付。</w:t>
      </w:r>
    </w:p>
    <w:p>
      <w:pPr>
        <w:pageBreakBefore w:val="0"/>
        <w:numPr>
          <w:ilvl w:val="0"/>
          <w:numId w:val="0"/>
        </w:numPr>
        <w:autoSpaceDE/>
        <w:autoSpaceDN/>
        <w:bidi w:val="0"/>
        <w:snapToGrid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7、本项目不接受联合体参与。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五、资格要求：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①与采购内容相关的营业执照副本复印件；</w:t>
      </w: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②提供生产企业相关授权书；</w:t>
      </w: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both"/>
        <w:rPr>
          <w:rFonts w:hint="eastAsia" w:ascii="Calibri" w:hAnsi="宋体" w:eastAsia="宋体"/>
          <w:color w:val="auto"/>
          <w:position w:val="0"/>
          <w:sz w:val="30"/>
          <w:szCs w:val="30"/>
          <w:lang w:eastAsia="zh-CN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③</w:t>
      </w:r>
      <w:r>
        <w:rPr>
          <w:rFonts w:hint="eastAsia" w:hAnsi="宋体"/>
          <w:color w:val="auto"/>
          <w:position w:val="0"/>
          <w:sz w:val="30"/>
          <w:szCs w:val="30"/>
          <w:lang w:eastAsia="zh-CN"/>
        </w:rPr>
        <w:t>提供货物参数要求相关证明材料；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六：比选方式：采取综合评定的方式。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七、其他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1、业主方联系人（可以通过以下电话进行比选报名）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588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曹老师   69330808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2、报名及比选资料递交要求：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588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①公司盖章，密封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588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②资料必须编制目录、页码并成册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588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报名及比选资料递交截止时间：</w:t>
      </w: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2020</w:t>
      </w: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年</w:t>
      </w: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5</w:t>
      </w: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月</w:t>
      </w: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6</w:t>
      </w: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日</w:t>
      </w: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10</w:t>
      </w: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时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588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递交地址：成都市龙泉驿区妇幼保健院后勤科</w:t>
      </w:r>
    </w:p>
    <w:p>
      <w:pPr>
        <w:numPr>
          <w:ilvl w:val="0"/>
          <w:numId w:val="2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比选时间：</w:t>
      </w: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2020</w:t>
      </w: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年</w:t>
      </w: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5</w:t>
      </w: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月</w:t>
      </w: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6</w:t>
      </w: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日15时</w:t>
      </w:r>
    </w:p>
    <w:p>
      <w:pPr>
        <w:numPr>
          <w:numId w:val="0"/>
        </w:numPr>
        <w:autoSpaceDE/>
        <w:autoSpaceDN/>
        <w:spacing w:before="0" w:after="160" w:line="360" w:lineRule="auto"/>
        <w:ind w:right="0" w:rightChars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（若有变更，采购人根据递送资料时留存的公司电话联系投标人）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 xml:space="preserve">    比选地点：成都市龙泉驿区妇幼保健院会议室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附件：1、技术参数需求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 xml:space="preserve">      2、比选文件格式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390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成都市龙泉驿区妇幼保健院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center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 xml:space="preserve">                           </w:t>
      </w: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2020</w:t>
      </w: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年</w:t>
      </w: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4</w:t>
      </w: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月</w:t>
      </w: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27</w:t>
      </w: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日</w:t>
      </w: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left"/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left"/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left"/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left"/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left"/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left"/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left"/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left"/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left"/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left"/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left"/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</w:pPr>
      <w:r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  <w:t>附件1：技术参数需求</w:t>
      </w:r>
    </w:p>
    <w:tbl>
      <w:tblPr>
        <w:tblStyle w:val="27"/>
        <w:tblW w:w="108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8"/>
        <w:gridCol w:w="8505"/>
        <w:gridCol w:w="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983" w:type="dxa"/>
            <w:gridSpan w:val="2"/>
            <w:vAlign w:val="center"/>
          </w:tcPr>
          <w:p>
            <w:pPr>
              <w:pStyle w:val="41"/>
              <w:spacing w:line="360" w:lineRule="auto"/>
              <w:ind w:firstLine="0" w:firstLineChars="0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配置要求</w:t>
            </w:r>
          </w:p>
        </w:tc>
        <w:tc>
          <w:tcPr>
            <w:tcW w:w="850" w:type="dxa"/>
            <w:vAlign w:val="center"/>
          </w:tcPr>
          <w:p>
            <w:pPr>
              <w:pStyle w:val="41"/>
              <w:spacing w:line="360" w:lineRule="auto"/>
              <w:ind w:firstLine="0" w:firstLineChars="0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8" w:hRule="atLeast"/>
          <w:jc w:val="center"/>
        </w:trPr>
        <w:tc>
          <w:tcPr>
            <w:tcW w:w="9983" w:type="dxa"/>
            <w:gridSpan w:val="2"/>
            <w:vAlign w:val="center"/>
          </w:tcPr>
          <w:tbl>
            <w:tblPr>
              <w:tblStyle w:val="26"/>
              <w:tblW w:w="9990" w:type="dxa"/>
              <w:tblInd w:w="-12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84"/>
              <w:gridCol w:w="1729"/>
              <w:gridCol w:w="1993"/>
              <w:gridCol w:w="4384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81" w:hRule="atLeast"/>
              </w:trPr>
              <w:tc>
                <w:tcPr>
                  <w:tcW w:w="9990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32"/>
                      <w:szCs w:val="32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需满足《国家居民健康卡综合管理平台》检测要求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0" w:hRule="atLeast"/>
              </w:trPr>
              <w:tc>
                <w:tcPr>
                  <w:tcW w:w="18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性能参数</w:t>
                  </w:r>
                </w:p>
              </w:tc>
              <w:tc>
                <w:tcPr>
                  <w:tcW w:w="17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图像传感器</w:t>
                  </w:r>
                </w:p>
              </w:tc>
              <w:tc>
                <w:tcPr>
                  <w:tcW w:w="199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　</w:t>
                  </w:r>
                </w:p>
              </w:tc>
              <w:tc>
                <w:tcPr>
                  <w:tcW w:w="438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CMOS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0" w:hRule="atLeast"/>
              </w:trPr>
              <w:tc>
                <w:tcPr>
                  <w:tcW w:w="188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　</w:t>
                  </w:r>
                </w:p>
              </w:tc>
              <w:tc>
                <w:tcPr>
                  <w:tcW w:w="17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像素</w:t>
                  </w:r>
                </w:p>
              </w:tc>
              <w:tc>
                <w:tcPr>
                  <w:tcW w:w="199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　</w:t>
                  </w:r>
                </w:p>
              </w:tc>
              <w:tc>
                <w:tcPr>
                  <w:tcW w:w="43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640×480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0" w:hRule="atLeast"/>
              </w:trPr>
              <w:tc>
                <w:tcPr>
                  <w:tcW w:w="188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　</w:t>
                  </w:r>
                </w:p>
              </w:tc>
              <w:tc>
                <w:tcPr>
                  <w:tcW w:w="17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照明</w:t>
                  </w:r>
                </w:p>
              </w:tc>
              <w:tc>
                <w:tcPr>
                  <w:tcW w:w="199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　</w:t>
                  </w:r>
                </w:p>
              </w:tc>
              <w:tc>
                <w:tcPr>
                  <w:tcW w:w="43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白光LED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0" w:hRule="atLeast"/>
              </w:trPr>
              <w:tc>
                <w:tcPr>
                  <w:tcW w:w="188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　</w:t>
                  </w:r>
                </w:p>
              </w:tc>
              <w:tc>
                <w:tcPr>
                  <w:tcW w:w="17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识读码制</w:t>
                  </w:r>
                </w:p>
              </w:tc>
              <w:tc>
                <w:tcPr>
                  <w:tcW w:w="199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2D</w:t>
                  </w:r>
                </w:p>
              </w:tc>
              <w:tc>
                <w:tcPr>
                  <w:tcW w:w="43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PDF417, Data Matrix, QR Code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430" w:hRule="atLeast"/>
              </w:trPr>
              <w:tc>
                <w:tcPr>
                  <w:tcW w:w="188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　</w:t>
                  </w:r>
                </w:p>
              </w:tc>
              <w:tc>
                <w:tcPr>
                  <w:tcW w:w="17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　</w:t>
                  </w:r>
                </w:p>
              </w:tc>
              <w:tc>
                <w:tcPr>
                  <w:tcW w:w="199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1D</w:t>
                  </w:r>
                </w:p>
              </w:tc>
              <w:tc>
                <w:tcPr>
                  <w:tcW w:w="43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EAN-8(可带附加码), EAN-13(可带附加码), UPC-A(可带附加码), UPC-E(可带附加码), ISSN, ISBN, Codabar, Standard 2 of 5, Code 128(包括 FNC1、FNC2、FNC3子集), Code93, ITF-6, ITF-14,  GS1 Databar, MSI-Plessey, Code 39(包括Code 39 FULL ASCII), Interleaved 2 of 5, Industrial 2 of 5, Matrix 2 of 5,Code 11, Plessey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0" w:hRule="atLeast"/>
              </w:trPr>
              <w:tc>
                <w:tcPr>
                  <w:tcW w:w="188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　</w:t>
                  </w:r>
                </w:p>
              </w:tc>
              <w:tc>
                <w:tcPr>
                  <w:tcW w:w="17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识读窗口</w:t>
                  </w:r>
                </w:p>
              </w:tc>
              <w:tc>
                <w:tcPr>
                  <w:tcW w:w="199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　</w:t>
                  </w:r>
                </w:p>
              </w:tc>
              <w:tc>
                <w:tcPr>
                  <w:tcW w:w="43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82mm×64mm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0" w:hRule="atLeast"/>
              </w:trPr>
              <w:tc>
                <w:tcPr>
                  <w:tcW w:w="188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　</w:t>
                  </w:r>
                </w:p>
              </w:tc>
              <w:tc>
                <w:tcPr>
                  <w:tcW w:w="17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条码灵敏度</w:t>
                  </w:r>
                </w:p>
              </w:tc>
              <w:tc>
                <w:tcPr>
                  <w:tcW w:w="199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倾斜(pitch) </w:t>
                  </w:r>
                </w:p>
              </w:tc>
              <w:tc>
                <w:tcPr>
                  <w:tcW w:w="43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±50°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0" w:hRule="atLeast"/>
              </w:trPr>
              <w:tc>
                <w:tcPr>
                  <w:tcW w:w="188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　</w:t>
                  </w:r>
                </w:p>
              </w:tc>
              <w:tc>
                <w:tcPr>
                  <w:tcW w:w="17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　</w:t>
                  </w:r>
                </w:p>
              </w:tc>
              <w:tc>
                <w:tcPr>
                  <w:tcW w:w="199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旋转(tilt)  </w:t>
                  </w:r>
                </w:p>
              </w:tc>
              <w:tc>
                <w:tcPr>
                  <w:tcW w:w="43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360°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0" w:hRule="atLeast"/>
              </w:trPr>
              <w:tc>
                <w:tcPr>
                  <w:tcW w:w="188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　</w:t>
                  </w:r>
                </w:p>
              </w:tc>
              <w:tc>
                <w:tcPr>
                  <w:tcW w:w="17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　</w:t>
                  </w:r>
                </w:p>
              </w:tc>
              <w:tc>
                <w:tcPr>
                  <w:tcW w:w="199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偏转(skew)  </w:t>
                  </w:r>
                </w:p>
              </w:tc>
              <w:tc>
                <w:tcPr>
                  <w:tcW w:w="43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±50°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0" w:hRule="atLeast"/>
              </w:trPr>
              <w:tc>
                <w:tcPr>
                  <w:tcW w:w="188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　</w:t>
                  </w:r>
                </w:p>
              </w:tc>
              <w:tc>
                <w:tcPr>
                  <w:tcW w:w="17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屏幕亮度</w:t>
                  </w:r>
                </w:p>
              </w:tc>
              <w:tc>
                <w:tcPr>
                  <w:tcW w:w="199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　</w:t>
                  </w:r>
                </w:p>
              </w:tc>
              <w:tc>
                <w:tcPr>
                  <w:tcW w:w="43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≥15%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0" w:hRule="atLeast"/>
              </w:trPr>
              <w:tc>
                <w:tcPr>
                  <w:tcW w:w="188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　</w:t>
                  </w:r>
                </w:p>
              </w:tc>
              <w:tc>
                <w:tcPr>
                  <w:tcW w:w="17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视场角度</w:t>
                  </w:r>
                </w:p>
              </w:tc>
              <w:tc>
                <w:tcPr>
                  <w:tcW w:w="199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　</w:t>
                  </w:r>
                </w:p>
              </w:tc>
              <w:tc>
                <w:tcPr>
                  <w:tcW w:w="43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水平: 69.5°,  垂直: 54.8°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0" w:hRule="atLeast"/>
              </w:trPr>
              <w:tc>
                <w:tcPr>
                  <w:tcW w:w="188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机械/电气化特性</w:t>
                  </w:r>
                </w:p>
              </w:tc>
              <w:tc>
                <w:tcPr>
                  <w:tcW w:w="17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通讯接口</w:t>
                  </w:r>
                </w:p>
              </w:tc>
              <w:tc>
                <w:tcPr>
                  <w:tcW w:w="199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　</w:t>
                  </w:r>
                </w:p>
              </w:tc>
              <w:tc>
                <w:tcPr>
                  <w:tcW w:w="43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USB (HID-KBW、HID-POS)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0" w:hRule="atLeast"/>
              </w:trPr>
              <w:tc>
                <w:tcPr>
                  <w:tcW w:w="188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　</w:t>
                  </w:r>
                </w:p>
              </w:tc>
              <w:tc>
                <w:tcPr>
                  <w:tcW w:w="17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外观尺寸(mm)</w:t>
                  </w:r>
                </w:p>
              </w:tc>
              <w:tc>
                <w:tcPr>
                  <w:tcW w:w="199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　</w:t>
                  </w:r>
                </w:p>
              </w:tc>
              <w:tc>
                <w:tcPr>
                  <w:tcW w:w="43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100.3(W)×120.3(D)×102.8(H)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0" w:hRule="atLeast"/>
              </w:trPr>
              <w:tc>
                <w:tcPr>
                  <w:tcW w:w="188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　</w:t>
                  </w:r>
                </w:p>
              </w:tc>
              <w:tc>
                <w:tcPr>
                  <w:tcW w:w="17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指示方式</w:t>
                  </w:r>
                </w:p>
              </w:tc>
              <w:tc>
                <w:tcPr>
                  <w:tcW w:w="199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　</w:t>
                  </w:r>
                </w:p>
              </w:tc>
              <w:tc>
                <w:tcPr>
                  <w:tcW w:w="43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提示音、LED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0" w:hRule="atLeast"/>
              </w:trPr>
              <w:tc>
                <w:tcPr>
                  <w:tcW w:w="188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　</w:t>
                  </w:r>
                </w:p>
              </w:tc>
              <w:tc>
                <w:tcPr>
                  <w:tcW w:w="17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工作电压</w:t>
                  </w:r>
                </w:p>
              </w:tc>
              <w:tc>
                <w:tcPr>
                  <w:tcW w:w="199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　</w:t>
                  </w:r>
                </w:p>
              </w:tc>
              <w:tc>
                <w:tcPr>
                  <w:tcW w:w="43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5 VDC±5%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0" w:hRule="atLeast"/>
              </w:trPr>
              <w:tc>
                <w:tcPr>
                  <w:tcW w:w="188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　</w:t>
                  </w:r>
                </w:p>
              </w:tc>
              <w:tc>
                <w:tcPr>
                  <w:tcW w:w="17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电流@5 VDC</w:t>
                  </w:r>
                </w:p>
              </w:tc>
              <w:tc>
                <w:tcPr>
                  <w:tcW w:w="199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工作电流</w:t>
                  </w:r>
                </w:p>
              </w:tc>
              <w:tc>
                <w:tcPr>
                  <w:tcW w:w="43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129mA（典型值）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0" w:hRule="atLeast"/>
              </w:trPr>
              <w:tc>
                <w:tcPr>
                  <w:tcW w:w="188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环境</w:t>
                  </w:r>
                </w:p>
              </w:tc>
              <w:tc>
                <w:tcPr>
                  <w:tcW w:w="17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工作温度</w:t>
                  </w:r>
                </w:p>
              </w:tc>
              <w:tc>
                <w:tcPr>
                  <w:tcW w:w="199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　</w:t>
                  </w:r>
                </w:p>
              </w:tc>
              <w:tc>
                <w:tcPr>
                  <w:tcW w:w="43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-20℃~+60℃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0" w:hRule="atLeast"/>
              </w:trPr>
              <w:tc>
                <w:tcPr>
                  <w:tcW w:w="188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　</w:t>
                  </w:r>
                </w:p>
              </w:tc>
              <w:tc>
                <w:tcPr>
                  <w:tcW w:w="17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储存温度</w:t>
                  </w:r>
                </w:p>
              </w:tc>
              <w:tc>
                <w:tcPr>
                  <w:tcW w:w="199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　</w:t>
                  </w:r>
                </w:p>
              </w:tc>
              <w:tc>
                <w:tcPr>
                  <w:tcW w:w="43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-40℃~+70℃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0" w:hRule="atLeast"/>
              </w:trPr>
              <w:tc>
                <w:tcPr>
                  <w:tcW w:w="188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　</w:t>
                  </w:r>
                </w:p>
              </w:tc>
              <w:tc>
                <w:tcPr>
                  <w:tcW w:w="17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相对湿度</w:t>
                  </w:r>
                </w:p>
              </w:tc>
              <w:tc>
                <w:tcPr>
                  <w:tcW w:w="199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　</w:t>
                  </w:r>
                </w:p>
              </w:tc>
              <w:tc>
                <w:tcPr>
                  <w:tcW w:w="43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5%~95%（无凝结）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0" w:hRule="atLeast"/>
              </w:trPr>
              <w:tc>
                <w:tcPr>
                  <w:tcW w:w="188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　</w:t>
                  </w:r>
                </w:p>
              </w:tc>
              <w:tc>
                <w:tcPr>
                  <w:tcW w:w="17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静电防护</w:t>
                  </w:r>
                </w:p>
              </w:tc>
              <w:tc>
                <w:tcPr>
                  <w:tcW w:w="199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　</w:t>
                  </w:r>
                </w:p>
              </w:tc>
              <w:tc>
                <w:tcPr>
                  <w:tcW w:w="43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±8kV（空气放电），±4kV（直接放电）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0" w:hRule="atLeast"/>
              </w:trPr>
              <w:tc>
                <w:tcPr>
                  <w:tcW w:w="188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配件列表</w:t>
                  </w:r>
                </w:p>
              </w:tc>
              <w:tc>
                <w:tcPr>
                  <w:tcW w:w="17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数据线</w:t>
                  </w:r>
                </w:p>
              </w:tc>
              <w:tc>
                <w:tcPr>
                  <w:tcW w:w="199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USB</w:t>
                  </w:r>
                </w:p>
              </w:tc>
              <w:tc>
                <w:tcPr>
                  <w:tcW w:w="43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</w:rPr>
                    <w:t>USB数据线，用于连接信息接收主机</w:t>
                  </w:r>
                </w:p>
              </w:tc>
            </w:tr>
          </w:tbl>
          <w:p>
            <w:pPr>
              <w:rPr>
                <w:sz w:val="28"/>
                <w:szCs w:val="28"/>
              </w:rPr>
            </w:pPr>
          </w:p>
          <w:p>
            <w:pPr>
              <w:jc w:val="left"/>
              <w:rPr>
                <w:rFonts w:asciiTheme="minorEastAsia" w:hAnsiTheme="minorEastAsia"/>
                <w:b/>
                <w:color w:val="0D0D0D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default" w:eastAsia="宋体" w:asciiTheme="minorEastAsia" w:hAnsiTheme="minorEastAsia"/>
                <w:b/>
                <w:color w:val="0D0D0D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color w:val="0D0D0D"/>
                <w:szCs w:val="21"/>
                <w:lang w:val="en-US" w:eastAsia="zh-CN"/>
              </w:rPr>
              <w:t>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478" w:type="dxa"/>
            <w:vAlign w:val="center"/>
          </w:tcPr>
          <w:p>
            <w:pPr>
              <w:pStyle w:val="41"/>
              <w:spacing w:line="360" w:lineRule="auto"/>
              <w:ind w:firstLine="0" w:firstLineChars="0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质保时间</w:t>
            </w:r>
          </w:p>
        </w:tc>
        <w:tc>
          <w:tcPr>
            <w:tcW w:w="9355" w:type="dxa"/>
            <w:gridSpan w:val="2"/>
            <w:vAlign w:val="center"/>
          </w:tcPr>
          <w:p>
            <w:pPr>
              <w:pStyle w:val="41"/>
              <w:spacing w:line="360" w:lineRule="auto"/>
              <w:ind w:firstLine="0" w:firstLineChars="0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原厂质保一年</w:t>
            </w:r>
          </w:p>
        </w:tc>
      </w:tr>
    </w:tbl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left"/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left"/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</w:pPr>
      <w:r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  <w:t>附件2：比选文件格式</w:t>
      </w:r>
    </w:p>
    <w:p>
      <w:pPr>
        <w:pStyle w:val="41"/>
        <w:numPr>
          <w:ilvl w:val="0"/>
          <w:numId w:val="3"/>
        </w:numPr>
        <w:autoSpaceDE/>
        <w:autoSpaceDN/>
        <w:bidi w:val="0"/>
        <w:spacing w:before="0" w:after="160" w:line="240" w:lineRule="auto"/>
        <w:ind w:left="720" w:right="150" w:hanging="720"/>
        <w:jc w:val="left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公司资质（复印件盖鲜章）</w:t>
      </w:r>
    </w:p>
    <w:p>
      <w:pPr>
        <w:pStyle w:val="41"/>
        <w:numPr>
          <w:ilvl w:val="0"/>
          <w:numId w:val="3"/>
        </w:numPr>
        <w:autoSpaceDE/>
        <w:autoSpaceDN/>
        <w:bidi w:val="0"/>
        <w:spacing w:before="0" w:after="160" w:line="240" w:lineRule="auto"/>
        <w:ind w:left="720" w:right="0" w:hanging="72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法人授权委托函</w:t>
      </w:r>
    </w:p>
    <w:p>
      <w:pPr>
        <w:pStyle w:val="41"/>
        <w:numPr>
          <w:ilvl w:val="0"/>
          <w:numId w:val="3"/>
        </w:numPr>
        <w:autoSpaceDE/>
        <w:autoSpaceDN/>
        <w:bidi w:val="0"/>
        <w:spacing w:before="0" w:after="160" w:line="240" w:lineRule="auto"/>
        <w:ind w:left="720" w:right="0" w:hanging="72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代理人身份证明</w:t>
      </w:r>
    </w:p>
    <w:p>
      <w:pPr>
        <w:pStyle w:val="41"/>
        <w:numPr>
          <w:ilvl w:val="0"/>
          <w:numId w:val="3"/>
        </w:numPr>
        <w:autoSpaceDE/>
        <w:autoSpaceDN/>
        <w:bidi w:val="0"/>
        <w:spacing w:before="0" w:after="160" w:line="240" w:lineRule="auto"/>
        <w:ind w:left="720" w:right="0" w:hanging="72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报价函</w:t>
      </w:r>
    </w:p>
    <w:p>
      <w:pPr>
        <w:pStyle w:val="41"/>
        <w:numPr>
          <w:ilvl w:val="0"/>
          <w:numId w:val="3"/>
        </w:numPr>
        <w:autoSpaceDE/>
        <w:autoSpaceDN/>
        <w:bidi w:val="0"/>
        <w:spacing w:before="0" w:after="160" w:line="240" w:lineRule="auto"/>
        <w:ind w:left="720" w:right="0" w:hanging="720"/>
        <w:jc w:val="both"/>
        <w:rPr>
          <w:rFonts w:hint="default" w:ascii="Calibri" w:hAnsi="宋体" w:eastAsia="宋体"/>
          <w:color w:val="000000" w:themeColor="text1"/>
          <w:positio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default" w:ascii="Calibri" w:hAnsi="宋体" w:eastAsia="宋体"/>
          <w:color w:val="000000" w:themeColor="text1"/>
          <w:position w:val="0"/>
          <w:sz w:val="30"/>
          <w:szCs w:val="30"/>
          <w14:textFill>
            <w14:solidFill>
              <w14:schemeClr w14:val="tx1"/>
            </w14:solidFill>
          </w14:textFill>
        </w:rPr>
        <w:t>生产企业相关授权书</w:t>
      </w:r>
      <w:bookmarkStart w:id="2" w:name="_GoBack"/>
      <w:bookmarkEnd w:id="2"/>
    </w:p>
    <w:p>
      <w:pPr>
        <w:pStyle w:val="41"/>
        <w:numPr>
          <w:ilvl w:val="0"/>
          <w:numId w:val="3"/>
        </w:numPr>
        <w:autoSpaceDE/>
        <w:autoSpaceDN/>
        <w:bidi w:val="0"/>
        <w:spacing w:before="0" w:after="160" w:line="240" w:lineRule="auto"/>
        <w:ind w:left="720" w:right="0" w:hanging="72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技术参数响应表（标注偏离情况）</w:t>
      </w:r>
    </w:p>
    <w:p>
      <w:pPr>
        <w:pStyle w:val="41"/>
        <w:numPr>
          <w:ilvl w:val="0"/>
          <w:numId w:val="3"/>
        </w:numPr>
        <w:autoSpaceDE/>
        <w:autoSpaceDN/>
        <w:bidi w:val="0"/>
        <w:spacing w:before="0" w:after="160" w:line="240" w:lineRule="auto"/>
        <w:ind w:left="720" w:right="0" w:hanging="72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公司需要说明的其他内容</w:t>
      </w: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比选文件一正一副，必须有目录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numPr>
        <w:ilvl w:val="0"/>
        <w:numId w:val="0"/>
      </w:numPr>
      <w:autoSpaceDE/>
      <w:autoSpaceDN/>
      <w:snapToGrid w:val="0"/>
      <w:spacing w:before="0" w:after="160" w:line="240" w:lineRule="auto"/>
      <w:ind w:right="0" w:firstLine="0"/>
      <w:jc w:val="right"/>
      <w:rPr>
        <w:rFonts w:hint="default" w:ascii="Calibri" w:hAnsi="宋体" w:eastAsia="宋体"/>
        <w:color w:val="auto"/>
        <w:position w:val="0"/>
        <w:sz w:val="18"/>
        <w:szCs w:val="18"/>
      </w:rPr>
    </w:pPr>
    <w:r>
      <w:rPr>
        <w:rFonts w:hint="default" w:ascii="Calibri" w:hAnsi="宋体" w:eastAsia="宋体"/>
        <w:color w:val="auto"/>
        <w:position w:val="0"/>
        <w:sz w:val="18"/>
        <w:szCs w:val="18"/>
      </w:rPr>
      <w:fldChar w:fldCharType="begin"/>
    </w:r>
    <w:r>
      <w:instrText xml:space="preserve">PAGE  \* MERGEFORMAT</w:instrText>
    </w:r>
    <w:r>
      <w:fldChar w:fldCharType="separate"/>
    </w:r>
    <w:r>
      <w:rPr>
        <w:rFonts w:hint="default" w:ascii="Calibri" w:hAnsi="宋体" w:eastAsia="宋体"/>
        <w:color w:val="auto"/>
        <w:position w:val="0"/>
        <w:sz w:val="18"/>
        <w:szCs w:val="18"/>
      </w:rPr>
      <w:t>1</w:t>
    </w:r>
    <w:r>
      <w:rPr>
        <w:rFonts w:hint="default" w:ascii="Calibri" w:hAnsi="宋体" w:eastAsia="宋体"/>
        <w:color w:val="auto"/>
        <w:position w:val="0"/>
        <w:sz w:val="18"/>
        <w:szCs w:val="18"/>
      </w:rPr>
      <w:fldChar w:fldCharType="end"/>
    </w:r>
  </w:p>
  <w:p>
    <w:pPr>
      <w:pStyle w:val="17"/>
      <w:numPr>
        <w:ilvl w:val="0"/>
        <w:numId w:val="0"/>
      </w:numPr>
      <w:autoSpaceDE/>
      <w:autoSpaceDN/>
      <w:snapToGrid w:val="0"/>
      <w:spacing w:before="0" w:after="160" w:line="240" w:lineRule="auto"/>
      <w:ind w:right="0" w:firstLine="0"/>
      <w:jc w:val="left"/>
      <w:rPr>
        <w:rFonts w:hint="default" w:ascii="Calibri" w:hAnsi="宋体" w:eastAsia="宋体"/>
        <w:color w:val="auto"/>
        <w:position w:val="0"/>
        <w:sz w:val="18"/>
        <w:szCs w:val="1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  <w:numPr>
        <w:ilvl w:val="0"/>
        <w:numId w:val="0"/>
      </w:numPr>
      <w:pBdr>
        <w:bottom w:val="single" w:color="000000" w:sz="6" w:space="0"/>
      </w:pBdr>
      <w:autoSpaceDE/>
      <w:autoSpaceDN/>
      <w:snapToGrid w:val="0"/>
      <w:spacing w:before="0" w:after="160" w:line="240" w:lineRule="auto"/>
      <w:ind w:right="0" w:firstLine="0"/>
      <w:jc w:val="center"/>
      <w:rPr>
        <w:rFonts w:hint="default" w:ascii="Calibri" w:hAnsi="宋体" w:eastAsia="宋体"/>
        <w:color w:val="auto"/>
        <w:position w:val="0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000001"/>
    <w:multiLevelType w:val="multilevel"/>
    <w:tmpl w:val="2F000001"/>
    <w:lvl w:ilvl="0" w:tentative="0">
      <w:start w:val="1"/>
      <w:numFmt w:val="decimal"/>
      <w:lvlText w:val="%1、"/>
      <w:lvlJc w:val="left"/>
      <w:pPr>
        <w:ind w:left="720" w:hanging="720"/>
        <w:jc w:val="both"/>
      </w:pPr>
      <w:rPr>
        <w:w w:val="100"/>
        <w:sz w:val="20"/>
        <w:szCs w:val="20"/>
        <w:shd w:val="clear"/>
      </w:rPr>
    </w:lvl>
    <w:lvl w:ilvl="1" w:tentative="0">
      <w:start w:val="1"/>
      <w:numFmt w:val="lowerLetter"/>
      <w:lvlText w:val="%2)"/>
      <w:lvlJc w:val="left"/>
      <w:pPr>
        <w:ind w:left="840" w:hanging="420"/>
        <w:jc w:val="both"/>
      </w:pPr>
    </w:lvl>
    <w:lvl w:ilvl="2" w:tentative="0">
      <w:start w:val="1"/>
      <w:numFmt w:val="lowerRoman"/>
      <w:lvlText w:val="%3."/>
      <w:lvlJc w:val="right"/>
      <w:pPr>
        <w:ind w:left="1260" w:hanging="420"/>
        <w:jc w:val="both"/>
      </w:pPr>
    </w:lvl>
    <w:lvl w:ilvl="3" w:tentative="0">
      <w:start w:val="1"/>
      <w:numFmt w:val="decimal"/>
      <w:lvlText w:val="%4."/>
      <w:lvlJc w:val="left"/>
      <w:pPr>
        <w:ind w:left="1680" w:hanging="420"/>
        <w:jc w:val="both"/>
      </w:pPr>
    </w:lvl>
    <w:lvl w:ilvl="4" w:tentative="0">
      <w:start w:val="1"/>
      <w:numFmt w:val="lowerLetter"/>
      <w:lvlText w:val="%5)"/>
      <w:lvlJc w:val="left"/>
      <w:pPr>
        <w:ind w:left="2100" w:hanging="420"/>
        <w:jc w:val="both"/>
      </w:pPr>
    </w:lvl>
    <w:lvl w:ilvl="5" w:tentative="0">
      <w:start w:val="1"/>
      <w:numFmt w:val="lowerRoman"/>
      <w:lvlText w:val="%6."/>
      <w:lvlJc w:val="right"/>
      <w:pPr>
        <w:ind w:left="2520" w:hanging="420"/>
        <w:jc w:val="both"/>
      </w:pPr>
    </w:lvl>
    <w:lvl w:ilvl="6" w:tentative="0">
      <w:start w:val="1"/>
      <w:numFmt w:val="decimal"/>
      <w:lvlText w:val="%7."/>
      <w:lvlJc w:val="left"/>
      <w:pPr>
        <w:ind w:left="2940" w:hanging="420"/>
        <w:jc w:val="both"/>
      </w:pPr>
    </w:lvl>
    <w:lvl w:ilvl="7" w:tentative="0">
      <w:start w:val="1"/>
      <w:numFmt w:val="lowerLetter"/>
      <w:lvlText w:val="%8)"/>
      <w:lvlJc w:val="left"/>
      <w:pPr>
        <w:ind w:left="3360" w:hanging="420"/>
        <w:jc w:val="both"/>
      </w:pPr>
    </w:lvl>
    <w:lvl w:ilvl="8" w:tentative="0">
      <w:start w:val="1"/>
      <w:numFmt w:val="lowerRoman"/>
      <w:lvlText w:val="%9."/>
      <w:lvlJc w:val="right"/>
      <w:pPr>
        <w:ind w:left="3780" w:hanging="420"/>
        <w:jc w:val="both"/>
      </w:pPr>
    </w:lvl>
  </w:abstractNum>
  <w:abstractNum w:abstractNumId="1">
    <w:nsid w:val="5A556325"/>
    <w:multiLevelType w:val="singleLevel"/>
    <w:tmpl w:val="5A55632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BF18068"/>
    <w:multiLevelType w:val="singleLevel"/>
    <w:tmpl w:val="5BF18068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compressPunctuation"/>
  <w:compat>
    <w:balanceSingleByteDoubleByteWidth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00000"/>
    <w:rsid w:val="0637585E"/>
    <w:rsid w:val="12B25942"/>
    <w:rsid w:val="13282FDB"/>
    <w:rsid w:val="1DAF3544"/>
    <w:rsid w:val="39A82DCF"/>
    <w:rsid w:val="56520BD2"/>
    <w:rsid w:val="56A81539"/>
  </w:rsids>
  <m:mathPr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7" w:semiHidden="0" w:name="heading 1"/>
    <w:lsdException w:qFormat="1" w:unhideWhenUsed="0" w:uiPriority="8" w:semiHidden="0" w:name="heading 2"/>
    <w:lsdException w:qFormat="1" w:unhideWhenUsed="0" w:uiPriority="9" w:semiHidden="0" w:name="heading 3"/>
    <w:lsdException w:qFormat="1" w:unhideWhenUsed="0" w:uiPriority="10" w:semiHidden="0" w:name="heading 4"/>
    <w:lsdException w:qFormat="1" w:unhideWhenUsed="0" w:uiPriority="11" w:semiHidden="0" w:name="heading 5"/>
    <w:lsdException w:qFormat="1" w:unhideWhenUsed="0" w:uiPriority="12" w:semiHidden="0" w:name="heading 6"/>
    <w:lsdException w:qFormat="1" w:unhideWhenUsed="0" w:uiPriority="13" w:semiHidden="0" w:name="heading 7"/>
    <w:lsdException w:qFormat="1" w:unhideWhenUsed="0" w:uiPriority="14" w:semiHidden="0" w:name="heading 8"/>
    <w:lsdException w:qFormat="1" w:unhideWhenUsed="0" w:uiPriority="15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28" w:semiHidden="0" w:name="toc 1"/>
    <w:lsdException w:qFormat="1" w:uiPriority="29" w:semiHidden="0" w:name="toc 2"/>
    <w:lsdException w:qFormat="1" w:uiPriority="30" w:semiHidden="0" w:name="toc 3"/>
    <w:lsdException w:qFormat="1" w:uiPriority="31" w:semiHidden="0" w:name="toc 4"/>
    <w:lsdException w:qFormat="1" w:uiPriority="32" w:semiHidden="0" w:name="toc 5"/>
    <w:lsdException w:qFormat="1" w:uiPriority="33" w:semiHidden="0" w:name="toc 6"/>
    <w:lsdException w:qFormat="1" w:uiPriority="34" w:semiHidden="0" w:name="toc 7"/>
    <w:lsdException w:qFormat="1" w:uiPriority="35" w:semiHidden="0" w:name="toc 8"/>
    <w:lsdException w:qFormat="1" w:uiPriority="36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155" w:semiHidden="0" w:name="header"/>
    <w:lsdException w:qFormat="1" w:uiPriority="154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156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6" w:semiHidden="0" w:name="Title"/>
    <w:lsdException w:unhideWhenUsed="0" w:uiPriority="0" w:semiHidden="0" w:name="Closing"/>
    <w:lsdException w:unhideWhenUsed="0" w:uiPriority="0" w:semiHidden="0" w:name="Signature"/>
    <w:lsdException w:qFormat="1" w:uiPriority="2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6" w:semiHidden="0" w:name="Subtitle"/>
    <w:lsdException w:unhideWhenUsed="0" w:uiPriority="0" w:semiHidden="0" w:name="Salutation"/>
    <w:lsdException w:qFormat="1" w:uiPriority="152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157" w:semiHidden="0" w:name="Hyperlink"/>
    <w:lsdException w:unhideWhenUsed="0" w:uiPriority="0" w:semiHidden="0" w:name="FollowedHyperlink"/>
    <w:lsdException w:qFormat="1" w:unhideWhenUsed="0" w:uiPriority="20" w:semiHidden="0" w:name="Strong"/>
    <w:lsdException w:qFormat="1" w:unhideWhenUsed="0" w:uiPriority="18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37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153" w:name="Balloon Text"/>
    <w:lsdException w:qFormat="1" w:unhideWhenUsed="0" w:uiPriority="38" w:semiHidden="0" w:name="Table Grid"/>
    <w:lsdException w:unhideWhenUsed="0" w:uiPriority="0" w:semiHidden="0" w:name="Table Theme"/>
    <w:lsdException w:qFormat="1" w:unhideWhenUsed="0" w:uiPriority="5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26" w:semiHidden="0" w:name="List Paragraph"/>
    <w:lsdException w:qFormat="1" w:unhideWhenUsed="0" w:uiPriority="21" w:semiHidden="0" w:name="Quote"/>
    <w:lsdException w:qFormat="1" w:unhideWhenUsed="0" w:uiPriority="22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ordWrap/>
      <w:autoSpaceDE/>
      <w:autoSpaceDN/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paragraph" w:styleId="2">
    <w:name w:val="heading 1"/>
    <w:next w:val="1"/>
    <w:qFormat/>
    <w:uiPriority w:val="7"/>
    <w:pPr>
      <w:jc w:val="both"/>
    </w:pPr>
    <w:rPr>
      <w:rFonts w:ascii="Calibri" w:hAnsi="Calibri" w:eastAsia="宋体" w:cs="Times New Roman"/>
      <w:w w:val="100"/>
      <w:sz w:val="28"/>
      <w:szCs w:val="28"/>
      <w:shd w:val="clear"/>
    </w:rPr>
  </w:style>
  <w:style w:type="paragraph" w:styleId="3">
    <w:name w:val="heading 2"/>
    <w:basedOn w:val="1"/>
    <w:next w:val="1"/>
    <w:link w:val="45"/>
    <w:qFormat/>
    <w:uiPriority w:val="8"/>
    <w:pPr>
      <w:keepNext/>
      <w:keepLines/>
      <w:widowControl/>
      <w:wordWrap/>
      <w:autoSpaceDE/>
      <w:autoSpaceDN/>
    </w:pPr>
    <w:rPr>
      <w:rFonts w:ascii="Arial" w:hAnsi="Arial" w:eastAsia="Times New Roman"/>
      <w:b/>
      <w:w w:val="100"/>
      <w:sz w:val="32"/>
      <w:szCs w:val="32"/>
      <w:shd w:val="clear"/>
    </w:rPr>
  </w:style>
  <w:style w:type="paragraph" w:styleId="4">
    <w:name w:val="heading 3"/>
    <w:next w:val="1"/>
    <w:qFormat/>
    <w:uiPriority w:val="9"/>
    <w:pPr>
      <w:ind w:left="1000" w:hanging="400"/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paragraph" w:styleId="5">
    <w:name w:val="heading 4"/>
    <w:next w:val="1"/>
    <w:qFormat/>
    <w:uiPriority w:val="10"/>
    <w:pPr>
      <w:ind w:left="1200" w:hanging="400"/>
      <w:jc w:val="both"/>
    </w:pPr>
    <w:rPr>
      <w:rFonts w:ascii="Calibri" w:hAnsi="Calibri" w:eastAsia="宋体" w:cs="Times New Roman"/>
      <w:b/>
      <w:w w:val="100"/>
      <w:sz w:val="21"/>
      <w:szCs w:val="21"/>
      <w:shd w:val="clear"/>
    </w:rPr>
  </w:style>
  <w:style w:type="paragraph" w:styleId="6">
    <w:name w:val="heading 5"/>
    <w:next w:val="1"/>
    <w:qFormat/>
    <w:uiPriority w:val="11"/>
    <w:pPr>
      <w:ind w:left="1400" w:hanging="400"/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paragraph" w:styleId="7">
    <w:name w:val="heading 6"/>
    <w:next w:val="1"/>
    <w:qFormat/>
    <w:uiPriority w:val="12"/>
    <w:pPr>
      <w:ind w:left="1600" w:hanging="400"/>
      <w:jc w:val="both"/>
    </w:pPr>
    <w:rPr>
      <w:rFonts w:ascii="Calibri" w:hAnsi="Calibri" w:eastAsia="宋体" w:cs="Times New Roman"/>
      <w:b/>
      <w:w w:val="100"/>
      <w:sz w:val="21"/>
      <w:szCs w:val="21"/>
      <w:shd w:val="clear"/>
    </w:rPr>
  </w:style>
  <w:style w:type="paragraph" w:styleId="8">
    <w:name w:val="heading 7"/>
    <w:next w:val="1"/>
    <w:qFormat/>
    <w:uiPriority w:val="13"/>
    <w:pPr>
      <w:ind w:left="1800" w:hanging="400"/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paragraph" w:styleId="9">
    <w:name w:val="heading 8"/>
    <w:next w:val="1"/>
    <w:qFormat/>
    <w:uiPriority w:val="14"/>
    <w:pPr>
      <w:ind w:left="2000" w:hanging="400"/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paragraph" w:styleId="10">
    <w:name w:val="heading 9"/>
    <w:next w:val="1"/>
    <w:qFormat/>
    <w:uiPriority w:val="15"/>
    <w:pPr>
      <w:ind w:left="2200" w:hanging="400"/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character" w:default="1" w:styleId="28">
    <w:name w:val="Default Paragraph Font"/>
    <w:semiHidden/>
    <w:unhideWhenUsed/>
    <w:qFormat/>
    <w:uiPriority w:val="2"/>
  </w:style>
  <w:style w:type="table" w:default="1" w:styleId="26">
    <w:name w:val="Normal Table"/>
    <w:qFormat/>
    <w:uiPriority w:val="37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next w:val="1"/>
    <w:unhideWhenUsed/>
    <w:qFormat/>
    <w:uiPriority w:val="34"/>
    <w:pPr>
      <w:ind w:left="2550" w:firstLine="0"/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paragraph" w:styleId="12">
    <w:name w:val="toc 5"/>
    <w:next w:val="1"/>
    <w:unhideWhenUsed/>
    <w:qFormat/>
    <w:uiPriority w:val="32"/>
    <w:pPr>
      <w:ind w:left="1700" w:firstLine="0"/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paragraph" w:styleId="13">
    <w:name w:val="toc 3"/>
    <w:next w:val="1"/>
    <w:unhideWhenUsed/>
    <w:qFormat/>
    <w:uiPriority w:val="30"/>
    <w:pPr>
      <w:ind w:left="850" w:firstLine="0"/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paragraph" w:styleId="14">
    <w:name w:val="toc 8"/>
    <w:next w:val="1"/>
    <w:unhideWhenUsed/>
    <w:qFormat/>
    <w:uiPriority w:val="35"/>
    <w:pPr>
      <w:ind w:left="2975" w:firstLine="0"/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paragraph" w:styleId="15">
    <w:name w:val="Date"/>
    <w:basedOn w:val="1"/>
    <w:next w:val="1"/>
    <w:link w:val="48"/>
    <w:semiHidden/>
    <w:unhideWhenUsed/>
    <w:qFormat/>
    <w:uiPriority w:val="152"/>
    <w:pPr>
      <w:widowControl/>
      <w:wordWrap/>
      <w:autoSpaceDE/>
      <w:autoSpaceDN/>
      <w:ind w:left="100" w:firstLine="0"/>
    </w:pPr>
  </w:style>
  <w:style w:type="paragraph" w:styleId="16">
    <w:name w:val="Balloon Text"/>
    <w:basedOn w:val="1"/>
    <w:link w:val="49"/>
    <w:semiHidden/>
    <w:unhideWhenUsed/>
    <w:qFormat/>
    <w:uiPriority w:val="153"/>
    <w:rPr>
      <w:w w:val="100"/>
      <w:sz w:val="18"/>
      <w:szCs w:val="18"/>
      <w:shd w:val="clear"/>
    </w:rPr>
  </w:style>
  <w:style w:type="paragraph" w:styleId="17">
    <w:name w:val="footer"/>
    <w:basedOn w:val="1"/>
    <w:link w:val="44"/>
    <w:unhideWhenUsed/>
    <w:qFormat/>
    <w:uiPriority w:val="154"/>
    <w:pPr>
      <w:widowControl/>
      <w:tabs>
        <w:tab w:val="center" w:pos="4153"/>
        <w:tab w:val="right" w:pos="8306"/>
      </w:tabs>
      <w:wordWrap/>
      <w:autoSpaceDE/>
      <w:autoSpaceDN/>
    </w:pPr>
    <w:rPr>
      <w:w w:val="100"/>
      <w:sz w:val="18"/>
      <w:szCs w:val="18"/>
      <w:shd w:val="clear"/>
    </w:rPr>
  </w:style>
  <w:style w:type="paragraph" w:styleId="18">
    <w:name w:val="header"/>
    <w:basedOn w:val="1"/>
    <w:link w:val="43"/>
    <w:unhideWhenUsed/>
    <w:qFormat/>
    <w:uiPriority w:val="155"/>
    <w:pPr>
      <w:widowControl/>
      <w:tabs>
        <w:tab w:val="center" w:pos="4153"/>
        <w:tab w:val="right" w:pos="8306"/>
      </w:tabs>
      <w:wordWrap/>
      <w:autoSpaceDE/>
      <w:autoSpaceDN/>
      <w:jc w:val="center"/>
    </w:pPr>
    <w:rPr>
      <w:w w:val="100"/>
      <w:sz w:val="18"/>
      <w:szCs w:val="18"/>
      <w:shd w:val="clear"/>
    </w:rPr>
  </w:style>
  <w:style w:type="paragraph" w:styleId="19">
    <w:name w:val="toc 1"/>
    <w:basedOn w:val="1"/>
    <w:next w:val="1"/>
    <w:qFormat/>
    <w:uiPriority w:val="28"/>
    <w:pPr>
      <w:widowControl/>
      <w:wordWrap/>
      <w:autoSpaceDE/>
      <w:autoSpaceDN/>
    </w:pPr>
    <w:rPr>
      <w:rFonts w:ascii="Calibri" w:hAnsi="Calibri" w:eastAsia="Times New Roman"/>
      <w:w w:val="100"/>
      <w:sz w:val="20"/>
      <w:szCs w:val="20"/>
      <w:shd w:val="clear"/>
    </w:rPr>
  </w:style>
  <w:style w:type="paragraph" w:styleId="20">
    <w:name w:val="toc 4"/>
    <w:next w:val="1"/>
    <w:unhideWhenUsed/>
    <w:qFormat/>
    <w:uiPriority w:val="31"/>
    <w:pPr>
      <w:ind w:left="1275" w:firstLine="0"/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paragraph" w:styleId="21">
    <w:name w:val="Subtitle"/>
    <w:qFormat/>
    <w:uiPriority w:val="16"/>
    <w:pPr>
      <w:jc w:val="center"/>
    </w:pPr>
    <w:rPr>
      <w:rFonts w:ascii="Calibri" w:hAnsi="Calibri" w:eastAsia="宋体" w:cs="Times New Roman"/>
      <w:w w:val="100"/>
      <w:sz w:val="24"/>
      <w:szCs w:val="24"/>
      <w:shd w:val="clear"/>
    </w:rPr>
  </w:style>
  <w:style w:type="paragraph" w:styleId="22">
    <w:name w:val="toc 6"/>
    <w:next w:val="1"/>
    <w:unhideWhenUsed/>
    <w:qFormat/>
    <w:uiPriority w:val="33"/>
    <w:pPr>
      <w:ind w:left="2125" w:firstLine="0"/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paragraph" w:styleId="23">
    <w:name w:val="toc 2"/>
    <w:next w:val="1"/>
    <w:unhideWhenUsed/>
    <w:qFormat/>
    <w:uiPriority w:val="29"/>
    <w:pPr>
      <w:ind w:left="425" w:firstLine="0"/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paragraph" w:styleId="24">
    <w:name w:val="toc 9"/>
    <w:next w:val="1"/>
    <w:unhideWhenUsed/>
    <w:qFormat/>
    <w:uiPriority w:val="36"/>
    <w:pPr>
      <w:ind w:left="3400" w:firstLine="0"/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paragraph" w:styleId="25">
    <w:name w:val="Title"/>
    <w:qFormat/>
    <w:uiPriority w:val="6"/>
    <w:pPr>
      <w:jc w:val="center"/>
    </w:pPr>
    <w:rPr>
      <w:rFonts w:ascii="Calibri" w:hAnsi="Calibri" w:eastAsia="宋体" w:cs="Times New Roman"/>
      <w:b/>
      <w:w w:val="100"/>
      <w:sz w:val="32"/>
      <w:szCs w:val="32"/>
      <w:shd w:val="clear"/>
    </w:rPr>
  </w:style>
  <w:style w:type="table" w:styleId="27">
    <w:name w:val="Table Grid"/>
    <w:basedOn w:val="26"/>
    <w:qFormat/>
    <w:uiPriority w:val="38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9">
    <w:name w:val="Strong"/>
    <w:qFormat/>
    <w:uiPriority w:val="20"/>
    <w:rPr>
      <w:b/>
      <w:w w:val="100"/>
      <w:sz w:val="21"/>
      <w:szCs w:val="21"/>
      <w:shd w:val="clear"/>
    </w:rPr>
  </w:style>
  <w:style w:type="character" w:styleId="30">
    <w:name w:val="page number"/>
    <w:qFormat/>
    <w:uiPriority w:val="156"/>
  </w:style>
  <w:style w:type="character" w:styleId="31">
    <w:name w:val="Emphasis"/>
    <w:qFormat/>
    <w:uiPriority w:val="18"/>
    <w:rPr>
      <w:i/>
      <w:w w:val="100"/>
      <w:sz w:val="21"/>
      <w:szCs w:val="21"/>
      <w:shd w:val="clear"/>
    </w:rPr>
  </w:style>
  <w:style w:type="character" w:styleId="32">
    <w:name w:val="Hyperlink"/>
    <w:basedOn w:val="28"/>
    <w:unhideWhenUsed/>
    <w:qFormat/>
    <w:uiPriority w:val="157"/>
    <w:rPr>
      <w:color w:val="0000FF" w:themeColor="hyperlink"/>
      <w:w w:val="100"/>
      <w:sz w:val="20"/>
      <w:szCs w:val="20"/>
      <w:u w:val="single"/>
      <w:shd w:val="clear"/>
    </w:rPr>
  </w:style>
  <w:style w:type="paragraph" w:styleId="33">
    <w:name w:val="No Spacing"/>
    <w:qFormat/>
    <w:uiPriority w:val="5"/>
    <w:pPr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character" w:customStyle="1" w:styleId="34">
    <w:name w:val="Subtle Emphasis"/>
    <w:qFormat/>
    <w:uiPriority w:val="17"/>
    <w:rPr>
      <w:i/>
      <w:color w:val="404040"/>
      <w:w w:val="100"/>
      <w:sz w:val="21"/>
      <w:szCs w:val="21"/>
      <w:shd w:val="clear"/>
    </w:rPr>
  </w:style>
  <w:style w:type="character" w:customStyle="1" w:styleId="35">
    <w:name w:val="Intense Emphasis"/>
    <w:qFormat/>
    <w:uiPriority w:val="19"/>
    <w:rPr>
      <w:i/>
      <w:color w:val="5B9BD5"/>
      <w:w w:val="100"/>
      <w:sz w:val="21"/>
      <w:szCs w:val="21"/>
      <w:shd w:val="clear"/>
    </w:rPr>
  </w:style>
  <w:style w:type="paragraph" w:styleId="36">
    <w:name w:val="Quote"/>
    <w:qFormat/>
    <w:uiPriority w:val="21"/>
    <w:pPr>
      <w:ind w:left="864" w:right="864" w:firstLine="0"/>
      <w:jc w:val="center"/>
    </w:pPr>
    <w:rPr>
      <w:rFonts w:ascii="Calibri" w:hAnsi="Calibri" w:eastAsia="宋体" w:cs="Times New Roman"/>
      <w:i/>
      <w:color w:val="404040"/>
      <w:w w:val="100"/>
      <w:sz w:val="21"/>
      <w:szCs w:val="21"/>
      <w:shd w:val="clear"/>
    </w:rPr>
  </w:style>
  <w:style w:type="paragraph" w:styleId="37">
    <w:name w:val="Intense Quote"/>
    <w:qFormat/>
    <w:uiPriority w:val="22"/>
    <w:pPr>
      <w:ind w:left="950" w:right="950" w:firstLine="0"/>
      <w:jc w:val="center"/>
    </w:pPr>
    <w:rPr>
      <w:rFonts w:ascii="Calibri" w:hAnsi="Calibri" w:eastAsia="宋体" w:cs="Times New Roman"/>
      <w:i/>
      <w:color w:val="5B9BD5"/>
      <w:w w:val="100"/>
      <w:sz w:val="21"/>
      <w:szCs w:val="21"/>
      <w:shd w:val="clear"/>
    </w:rPr>
  </w:style>
  <w:style w:type="character" w:customStyle="1" w:styleId="38">
    <w:name w:val="Subtle Reference"/>
    <w:qFormat/>
    <w:uiPriority w:val="23"/>
    <w:rPr>
      <w:smallCaps/>
      <w:color w:val="5A5A5A"/>
      <w:w w:val="100"/>
      <w:sz w:val="21"/>
      <w:szCs w:val="21"/>
      <w:shd w:val="clear"/>
    </w:rPr>
  </w:style>
  <w:style w:type="character" w:customStyle="1" w:styleId="39">
    <w:name w:val="Intense Reference"/>
    <w:qFormat/>
    <w:uiPriority w:val="24"/>
    <w:rPr>
      <w:b/>
      <w:smallCaps/>
      <w:color w:val="5B9BD5"/>
      <w:w w:val="100"/>
      <w:sz w:val="21"/>
      <w:szCs w:val="21"/>
      <w:shd w:val="clear"/>
    </w:rPr>
  </w:style>
  <w:style w:type="character" w:customStyle="1" w:styleId="40">
    <w:name w:val="Book Title"/>
    <w:qFormat/>
    <w:uiPriority w:val="25"/>
    <w:rPr>
      <w:b/>
      <w:i/>
      <w:w w:val="100"/>
      <w:sz w:val="21"/>
      <w:szCs w:val="21"/>
      <w:shd w:val="clear"/>
    </w:rPr>
  </w:style>
  <w:style w:type="paragraph" w:styleId="41">
    <w:name w:val="List Paragraph"/>
    <w:basedOn w:val="1"/>
    <w:qFormat/>
    <w:uiPriority w:val="26"/>
    <w:pPr>
      <w:widowControl/>
      <w:wordWrap/>
      <w:autoSpaceDE/>
      <w:autoSpaceDN/>
      <w:ind w:firstLine="420"/>
    </w:pPr>
  </w:style>
  <w:style w:type="paragraph" w:customStyle="1" w:styleId="42">
    <w:name w:val="TOC Heading"/>
    <w:unhideWhenUsed/>
    <w:qFormat/>
    <w:uiPriority w:val="27"/>
    <w:rPr>
      <w:rFonts w:ascii="Calibri" w:hAnsi="Calibri" w:eastAsia="宋体" w:cs="Times New Roman"/>
      <w:color w:val="2E74B5"/>
      <w:w w:val="100"/>
      <w:sz w:val="32"/>
      <w:szCs w:val="32"/>
      <w:shd w:val="clear"/>
    </w:rPr>
  </w:style>
  <w:style w:type="character" w:customStyle="1" w:styleId="43">
    <w:name w:val="页眉 Char"/>
    <w:basedOn w:val="28"/>
    <w:link w:val="18"/>
    <w:qFormat/>
    <w:uiPriority w:val="158"/>
    <w:rPr>
      <w:w w:val="100"/>
      <w:sz w:val="18"/>
      <w:szCs w:val="18"/>
      <w:shd w:val="clear"/>
    </w:rPr>
  </w:style>
  <w:style w:type="character" w:customStyle="1" w:styleId="44">
    <w:name w:val="页脚 Char"/>
    <w:basedOn w:val="28"/>
    <w:link w:val="17"/>
    <w:qFormat/>
    <w:uiPriority w:val="159"/>
    <w:rPr>
      <w:w w:val="100"/>
      <w:sz w:val="18"/>
      <w:szCs w:val="18"/>
      <w:shd w:val="clear"/>
    </w:rPr>
  </w:style>
  <w:style w:type="character" w:customStyle="1" w:styleId="45">
    <w:name w:val="标题 2 Char"/>
    <w:basedOn w:val="28"/>
    <w:link w:val="3"/>
    <w:qFormat/>
    <w:uiPriority w:val="160"/>
    <w:rPr>
      <w:rFonts w:ascii="Arial" w:hAnsi="Arial" w:eastAsia="Times New Roman"/>
      <w:b/>
      <w:w w:val="100"/>
      <w:sz w:val="32"/>
      <w:szCs w:val="32"/>
      <w:shd w:val="clear"/>
    </w:rPr>
  </w:style>
  <w:style w:type="character" w:customStyle="1" w:styleId="46">
    <w:name w:val="列出段落 Char"/>
    <w:link w:val="47"/>
    <w:qFormat/>
    <w:uiPriority w:val="161"/>
    <w:rPr>
      <w:rFonts w:ascii="宋体" w:hAnsi="宋体" w:eastAsia="宋体"/>
      <w:w w:val="100"/>
      <w:sz w:val="24"/>
      <w:szCs w:val="24"/>
      <w:shd w:val="clear"/>
    </w:rPr>
  </w:style>
  <w:style w:type="paragraph" w:customStyle="1" w:styleId="47">
    <w:name w:val="列出段落1"/>
    <w:basedOn w:val="1"/>
    <w:link w:val="46"/>
    <w:qFormat/>
    <w:uiPriority w:val="162"/>
    <w:pPr>
      <w:widowControl/>
      <w:wordWrap/>
      <w:autoSpaceDE/>
      <w:autoSpaceDN/>
      <w:ind w:firstLine="420"/>
    </w:pPr>
    <w:rPr>
      <w:rFonts w:ascii="宋体" w:hAnsi="宋体" w:eastAsia="宋体"/>
      <w:w w:val="100"/>
      <w:sz w:val="24"/>
      <w:szCs w:val="24"/>
      <w:shd w:val="clear"/>
    </w:rPr>
  </w:style>
  <w:style w:type="character" w:customStyle="1" w:styleId="48">
    <w:name w:val="日期 Char"/>
    <w:basedOn w:val="28"/>
    <w:link w:val="15"/>
    <w:semiHidden/>
    <w:qFormat/>
    <w:uiPriority w:val="163"/>
  </w:style>
  <w:style w:type="character" w:customStyle="1" w:styleId="49">
    <w:name w:val="批注框文本 Char"/>
    <w:basedOn w:val="28"/>
    <w:link w:val="16"/>
    <w:semiHidden/>
    <w:qFormat/>
    <w:uiPriority w:val="164"/>
    <w:rPr>
      <w:w w:val="100"/>
      <w:sz w:val="18"/>
      <w:szCs w:val="18"/>
      <w:shd w:val="clear"/>
    </w:rPr>
  </w:style>
  <w:style w:type="character" w:customStyle="1" w:styleId="50">
    <w:name w:val="apple-converted-space"/>
    <w:basedOn w:val="28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Microsoft</Company>
  <Pages>5</Pages>
  <Words>312</Words>
  <Characters>2091</Characters>
  <Lines>14</Lines>
  <Paragraphs>4</Paragraphs>
  <TotalTime>265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2019-09-03T02:29:00Z</dcterms:created>
  <dc:creator>HOUQING</dc:creator>
  <cp:lastModifiedBy>WPS_1559559727</cp:lastModifiedBy>
  <cp:lastPrinted>2020-04-27T09:38:32Z</cp:lastPrinted>
  <dcterms:modified xsi:type="dcterms:W3CDTF">2020-04-27T09:56:38Z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