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center"/>
        <w:rPr>
          <w:rFonts w:hint="default" w:ascii="Calibri" w:hAnsi="宋体" w:eastAsia="宋体"/>
          <w:b/>
          <w:color w:val="auto"/>
          <w:position w:val="0"/>
          <w:sz w:val="36"/>
          <w:szCs w:val="36"/>
        </w:rPr>
      </w:pPr>
      <w:bookmarkStart w:id="0" w:name="_Hlt101233737"/>
      <w:bookmarkEnd w:id="0"/>
      <w:bookmarkStart w:id="1" w:name="_Hlt101843627"/>
      <w:bookmarkEnd w:id="1"/>
      <w:r>
        <w:rPr>
          <w:rFonts w:hint="default" w:ascii="Calibri" w:hAnsi="宋体" w:eastAsia="宋体"/>
          <w:b/>
          <w:color w:val="auto"/>
          <w:position w:val="0"/>
          <w:sz w:val="36"/>
          <w:szCs w:val="36"/>
        </w:rPr>
        <w:t>成都市龙泉驿区妇幼保健院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center"/>
        <w:rPr>
          <w:rFonts w:hint="default" w:ascii="Calibri" w:hAnsi="宋体" w:eastAsia="宋体"/>
          <w:b/>
          <w:color w:val="auto"/>
          <w:position w:val="0"/>
          <w:sz w:val="36"/>
          <w:szCs w:val="36"/>
        </w:rPr>
      </w:pPr>
      <w:r>
        <w:rPr>
          <w:rFonts w:hint="default" w:ascii="Calibri" w:hAnsi="宋体" w:eastAsia="宋体"/>
          <w:b/>
          <w:color w:val="auto"/>
          <w:position w:val="0"/>
          <w:sz w:val="36"/>
          <w:szCs w:val="36"/>
        </w:rPr>
        <w:t>免疫规划信息管理系统建设配套设备采购项目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center"/>
        <w:rPr>
          <w:rFonts w:hint="eastAsia" w:ascii="Calibri" w:hAnsi="宋体" w:eastAsia="宋体"/>
          <w:b/>
          <w:color w:val="auto"/>
          <w:position w:val="0"/>
          <w:sz w:val="36"/>
          <w:szCs w:val="36"/>
          <w:lang w:eastAsia="zh-CN"/>
        </w:rPr>
      </w:pPr>
      <w:r>
        <w:rPr>
          <w:rFonts w:hint="default" w:ascii="Calibri" w:hAnsi="宋体" w:eastAsia="宋体"/>
          <w:b/>
          <w:color w:val="auto"/>
          <w:position w:val="0"/>
          <w:sz w:val="36"/>
          <w:szCs w:val="36"/>
        </w:rPr>
        <w:t>比选</w:t>
      </w:r>
      <w:r>
        <w:rPr>
          <w:rFonts w:hint="eastAsia" w:hAnsi="宋体"/>
          <w:b/>
          <w:color w:val="auto"/>
          <w:position w:val="0"/>
          <w:sz w:val="36"/>
          <w:szCs w:val="36"/>
          <w:lang w:eastAsia="zh-CN"/>
        </w:rPr>
        <w:t>公告</w:t>
      </w:r>
    </w:p>
    <w:p>
      <w:pPr>
        <w:numPr>
          <w:ilvl w:val="0"/>
          <w:numId w:val="1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项目名称：免疫规划信息管理系统建设配套设备采购项目二、项目业主：成都市龙泉驿区妇幼保健院</w:t>
      </w:r>
      <w:bookmarkStart w:id="2" w:name="_GoBack"/>
      <w:bookmarkEnd w:id="2"/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rightChars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三、项目施工地：龙泉玉扬路383号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四、项目要求： 项目最高限价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61640.00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元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1、货物及相关技术参数要求详见附件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2、供应商在报价时须注明投报的品牌、型号、配置及相对应的技术参数。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3、中标供应商提供的产品必须是原厂原装正品。外包装箱和产品序列号必须完整无缺，所有设备的外包装箱未经采购单位验收，不得私自开箱安装（或拆封），否则采购单位有权拒收。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4、供应商须在中选之日起15日内完成供货，包货物运输安装。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5、售后服务：质保期为验收合格后</w:t>
      </w:r>
      <w:r>
        <w:rPr>
          <w:rFonts w:hint="eastAsia" w:hAnsi="宋体"/>
          <w:color w:val="auto"/>
          <w:position w:val="0"/>
          <w:sz w:val="30"/>
          <w:szCs w:val="30"/>
          <w:u w:val="single"/>
          <w:lang w:eastAsia="zh-CN"/>
        </w:rPr>
        <w:t>壹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年，质保期内出现质量问题，乙方在接到通知后 2 小时内响应到场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，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48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小时内完成维修或更换，并承担修理调换的费用；如货物经乙方 3 次维修仍不能达到本合同约定的质量标准，视作乙方未能按时交货，甲方有权退货并追究乙方的违约责任。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eastAsia" w:hAnsi="宋体"/>
          <w:color w:val="000000" w:themeColor="text1"/>
          <w:position w:val="0"/>
          <w:sz w:val="30"/>
          <w:szCs w:val="30"/>
          <w:lang w:eastAsia="zh-CN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6、付款方式：</w:t>
      </w:r>
      <w:r>
        <w:rPr>
          <w:rFonts w:hint="default" w:ascii="Calibri" w:hAnsi="宋体" w:eastAsia="宋体"/>
          <w:color w:val="000000" w:themeColor="text1"/>
          <w:position w:val="0"/>
          <w:sz w:val="30"/>
          <w:szCs w:val="30"/>
        </w:rPr>
        <w:t>货到安装并验收合格后</w:t>
      </w:r>
      <w:r>
        <w:rPr>
          <w:rFonts w:hint="eastAsia" w:hAnsi="宋体"/>
          <w:color w:val="000000" w:themeColor="text1"/>
          <w:position w:val="0"/>
          <w:sz w:val="30"/>
          <w:szCs w:val="30"/>
          <w:lang w:val="en-US" w:eastAsia="zh-CN"/>
        </w:rPr>
        <w:t>30</w:t>
      </w:r>
      <w:r>
        <w:rPr>
          <w:rFonts w:hint="default" w:ascii="Calibri" w:hAnsi="宋体" w:eastAsia="宋体"/>
          <w:color w:val="000000" w:themeColor="text1"/>
          <w:position w:val="0"/>
          <w:sz w:val="30"/>
          <w:szCs w:val="30"/>
        </w:rPr>
        <w:t>个工作日内</w:t>
      </w:r>
      <w:r>
        <w:rPr>
          <w:rFonts w:hint="eastAsia" w:hAnsi="宋体"/>
          <w:color w:val="000000" w:themeColor="text1"/>
          <w:position w:val="0"/>
          <w:sz w:val="30"/>
          <w:szCs w:val="30"/>
          <w:lang w:val="en-US" w:eastAsia="zh-CN"/>
        </w:rPr>
        <w:t>支</w:t>
      </w:r>
      <w:r>
        <w:rPr>
          <w:rFonts w:hint="default" w:ascii="Calibri" w:hAnsi="宋体" w:eastAsia="宋体"/>
          <w:color w:val="000000" w:themeColor="text1"/>
          <w:position w:val="0"/>
          <w:sz w:val="30"/>
          <w:szCs w:val="30"/>
        </w:rPr>
        <w:t>付合同金额的</w:t>
      </w:r>
      <w:r>
        <w:rPr>
          <w:rFonts w:hint="eastAsia" w:hAnsi="宋体"/>
          <w:color w:val="000000" w:themeColor="text1"/>
          <w:position w:val="0"/>
          <w:sz w:val="30"/>
          <w:szCs w:val="30"/>
          <w:lang w:val="en-US" w:eastAsia="zh-CN"/>
        </w:rPr>
        <w:t>100</w:t>
      </w:r>
      <w:r>
        <w:rPr>
          <w:rFonts w:hint="default" w:ascii="Calibri" w:hAnsi="宋体" w:eastAsia="宋体"/>
          <w:color w:val="000000" w:themeColor="text1"/>
          <w:position w:val="0"/>
          <w:sz w:val="30"/>
          <w:szCs w:val="30"/>
        </w:rPr>
        <w:t>%</w:t>
      </w:r>
      <w:r>
        <w:rPr>
          <w:rFonts w:hint="eastAsia" w:hAnsi="宋体"/>
          <w:color w:val="000000" w:themeColor="text1"/>
          <w:position w:val="0"/>
          <w:sz w:val="30"/>
          <w:szCs w:val="30"/>
          <w:lang w:eastAsia="zh-CN"/>
        </w:rPr>
        <w:t>。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7、本项目不接受联合体参与。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五、资格要求：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①与采购内容相关的营业执照副本复印件；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②提供生产企业相关授权书；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both"/>
        <w:rPr>
          <w:rFonts w:hint="eastAsia" w:ascii="Calibri" w:hAnsi="宋体" w:eastAsia="宋体"/>
          <w:color w:val="auto"/>
          <w:position w:val="0"/>
          <w:sz w:val="30"/>
          <w:szCs w:val="30"/>
          <w:lang w:eastAsia="zh-CN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③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提供货物参数要求相关证明材料；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六：比选方式：采取综合评定的方式。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七、其他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1、业主方联系人（可以通过以下电话进行比选报名）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588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曹老师   69330808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2、报名及比选资料递交要求：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588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①公司盖章，密封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588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②资料必须编制目录、页码并成册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588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报名及比选资料递交截止时间：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2020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年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5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6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日1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0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时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588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递交地址：成都市龙泉驿区妇幼保健院后勤科</w:t>
      </w:r>
    </w:p>
    <w:p>
      <w:pPr>
        <w:numPr>
          <w:ilvl w:val="0"/>
          <w:numId w:val="2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比选时间：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2020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年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5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6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日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16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时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rightChars="0" w:firstLine="600" w:firstLineChars="20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（若有变更，采购人根据递送资料时留存的公司电话联系投标人）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 xml:space="preserve">    比选地点：成都市龙泉驿区妇幼保健院会议室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附件：1、技术参数需求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 xml:space="preserve">      2、比选文件格式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390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成都市龙泉驿区妇幼保健院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center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 xml:space="preserve">                            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2020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年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4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27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日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  <w:r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  <w:t>附件1：技术参数需求</w:t>
      </w:r>
    </w:p>
    <w:tbl>
      <w:tblPr>
        <w:tblStyle w:val="27"/>
        <w:tblpPr w:leftFromText="180" w:rightFromText="180" w:vertAnchor="page" w:horzAnchor="page" w:tblpX="895" w:tblpY="2710"/>
        <w:tblOverlap w:val="never"/>
        <w:tblW w:w="98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2216"/>
        <w:gridCol w:w="6023"/>
        <w:gridCol w:w="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tblHeader/>
        </w:trPr>
        <w:tc>
          <w:tcPr>
            <w:tcW w:w="921" w:type="dxa"/>
            <w:shd w:val="clear" w:color="auto" w:fill="D7D7D7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2216" w:type="dxa"/>
            <w:shd w:val="clear" w:color="auto" w:fill="D7D7D7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6023" w:type="dxa"/>
            <w:shd w:val="clear" w:color="auto" w:fill="D7D7D7"/>
            <w:noWrap w:val="0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:szCs w:val="24"/>
              </w:rPr>
              <w:t>产品</w:t>
            </w:r>
            <w:r>
              <w:rPr>
                <w:rFonts w:hint="eastAsia"/>
                <w:b/>
                <w:bCs/>
                <w:color w:val="000000" w:themeColor="text1"/>
                <w:sz w:val="24"/>
                <w:szCs w:val="24"/>
                <w:lang w:eastAsia="zh-CN"/>
              </w:rPr>
              <w:t>参数要求</w:t>
            </w:r>
          </w:p>
        </w:tc>
        <w:tc>
          <w:tcPr>
            <w:tcW w:w="738" w:type="dxa"/>
            <w:shd w:val="clear" w:color="auto" w:fill="D7D7D7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:szCs w:val="24"/>
                <w:lang w:eastAsia="zh-CN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</w:trPr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216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</w:rPr>
              <w:t>专用多合一</w:t>
            </w:r>
          </w:p>
          <w:p>
            <w:pPr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</w:rPr>
              <w:t>采集终端</w:t>
            </w:r>
          </w:p>
          <w:p>
            <w:pPr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</w:rPr>
              <w:t>（软件+硬件）免疫专用</w:t>
            </w:r>
          </w:p>
        </w:tc>
        <w:tc>
          <w:tcPr>
            <w:tcW w:w="6023" w:type="dxa"/>
            <w:noWrap w:val="0"/>
            <w:vAlign w:val="center"/>
          </w:tcPr>
          <w:p>
            <w:pPr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eastAsia="zh-CN"/>
              </w:rPr>
              <w:t>可</w:t>
            </w:r>
            <w:r>
              <w:rPr>
                <w:rFonts w:hint="eastAsia"/>
                <w:b w:val="0"/>
                <w:bCs w:val="0"/>
                <w:sz w:val="18"/>
                <w:szCs w:val="18"/>
              </w:rPr>
              <w:t>扫码、识别身份证、社保卡、电子健康卡等</w:t>
            </w:r>
          </w:p>
          <w:p>
            <w:pPr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eastAsia="zh-CN"/>
              </w:rPr>
              <w:t>可快捷</w:t>
            </w:r>
            <w:r>
              <w:rPr>
                <w:rFonts w:hint="eastAsia"/>
                <w:b w:val="0"/>
                <w:bCs w:val="0"/>
                <w:sz w:val="18"/>
                <w:szCs w:val="18"/>
              </w:rPr>
              <w:t>建卡、查找个案，儿童建卡读取身份信息、社保读取、扫描</w:t>
            </w:r>
            <w:r>
              <w:rPr>
                <w:rFonts w:hint="eastAsia"/>
                <w:b w:val="0"/>
                <w:bCs w:val="0"/>
                <w:sz w:val="18"/>
                <w:szCs w:val="18"/>
                <w:lang w:eastAsia="zh-CN"/>
              </w:rPr>
              <w:t>一、</w:t>
            </w:r>
            <w:r>
              <w:rPr>
                <w:rFonts w:hint="eastAsia"/>
                <w:b w:val="0"/>
                <w:bCs w:val="0"/>
                <w:sz w:val="18"/>
                <w:szCs w:val="18"/>
              </w:rPr>
              <w:t>二维码。</w:t>
            </w:r>
            <w:r>
              <w:rPr>
                <w:rFonts w:hint="eastAsia"/>
                <w:b w:val="0"/>
                <w:bCs w:val="0"/>
                <w:sz w:val="18"/>
                <w:szCs w:val="18"/>
                <w:lang w:eastAsia="zh-CN"/>
              </w:rPr>
              <w:t>能</w:t>
            </w:r>
            <w:r>
              <w:rPr>
                <w:rFonts w:hint="eastAsia"/>
                <w:b w:val="0"/>
                <w:bCs w:val="0"/>
                <w:sz w:val="18"/>
                <w:szCs w:val="18"/>
              </w:rPr>
              <w:t>涵盖扫描枪、读卡器功能。</w:t>
            </w:r>
          </w:p>
          <w:p>
            <w:pPr>
              <w:rPr>
                <w:rFonts w:hint="eastAsia" w:eastAsia="宋体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eastAsia="zh-CN"/>
              </w:rPr>
              <w:t>配备影像式</w:t>
            </w: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CMOS，具有</w:t>
            </w:r>
            <w:r>
              <w:rPr>
                <w:rFonts w:hint="eastAsia"/>
                <w:b w:val="0"/>
                <w:bCs w:val="0"/>
                <w:sz w:val="18"/>
                <w:szCs w:val="18"/>
              </w:rPr>
              <w:t>75mm*60mm</w:t>
            </w:r>
            <w:r>
              <w:rPr>
                <w:rFonts w:hint="eastAsia"/>
                <w:b w:val="0"/>
                <w:bCs w:val="0"/>
                <w:sz w:val="18"/>
                <w:szCs w:val="18"/>
                <w:lang w:eastAsia="zh-CN"/>
              </w:rPr>
              <w:t>及以上</w:t>
            </w:r>
            <w:r>
              <w:rPr>
                <w:rFonts w:hint="eastAsia"/>
                <w:b w:val="0"/>
                <w:bCs w:val="0"/>
                <w:sz w:val="18"/>
                <w:szCs w:val="18"/>
              </w:rPr>
              <w:t>读取窗口</w:t>
            </w:r>
            <w:r>
              <w:rPr>
                <w:rFonts w:hint="eastAsia"/>
                <w:b w:val="0"/>
                <w:bCs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可</w:t>
            </w:r>
            <w:r>
              <w:rPr>
                <w:rFonts w:hint="eastAsia"/>
                <w:b w:val="0"/>
                <w:bCs w:val="0"/>
                <w:sz w:val="18"/>
                <w:szCs w:val="18"/>
                <w:lang w:eastAsia="zh-CN"/>
              </w:rPr>
              <w:t>自动对焦，快速识别</w:t>
            </w:r>
          </w:p>
        </w:tc>
        <w:tc>
          <w:tcPr>
            <w:tcW w:w="738" w:type="dxa"/>
            <w:noWrap w:val="0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21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一二维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扫码枪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（墩式）</w:t>
            </w:r>
          </w:p>
        </w:tc>
        <w:tc>
          <w:tcPr>
            <w:tcW w:w="6023" w:type="dxa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具有</w:t>
            </w:r>
            <w:r>
              <w:rPr>
                <w:rFonts w:hint="eastAsia"/>
                <w:sz w:val="18"/>
                <w:szCs w:val="18"/>
              </w:rPr>
              <w:t>75mm*60mm</w:t>
            </w:r>
            <w:r>
              <w:rPr>
                <w:rFonts w:hint="eastAsia"/>
                <w:sz w:val="18"/>
                <w:szCs w:val="18"/>
                <w:lang w:eastAsia="zh-CN"/>
              </w:rPr>
              <w:t>及以上</w:t>
            </w:r>
            <w:r>
              <w:rPr>
                <w:rFonts w:hint="eastAsia"/>
                <w:sz w:val="18"/>
                <w:szCs w:val="18"/>
              </w:rPr>
              <w:t>读取窗口，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可</w:t>
            </w:r>
            <w:r>
              <w:rPr>
                <w:rFonts w:hint="eastAsia"/>
                <w:sz w:val="18"/>
                <w:szCs w:val="18"/>
                <w:lang w:eastAsia="zh-CN"/>
              </w:rPr>
              <w:t>自动对焦，快速识别，</w:t>
            </w:r>
            <w:r>
              <w:rPr>
                <w:rFonts w:hint="eastAsia"/>
                <w:sz w:val="18"/>
                <w:szCs w:val="18"/>
              </w:rPr>
              <w:t>支持一二维码扫描，支持10种以上语音提醒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可</w:t>
            </w:r>
            <w:r>
              <w:rPr>
                <w:rFonts w:hint="eastAsia"/>
                <w:sz w:val="18"/>
                <w:szCs w:val="18"/>
              </w:rPr>
              <w:t>直接放在桌面上，无需手持。</w:t>
            </w:r>
          </w:p>
        </w:tc>
        <w:tc>
          <w:tcPr>
            <w:tcW w:w="738" w:type="dxa"/>
            <w:noWrap w:val="0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21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预防接种知情同意书</w:t>
            </w:r>
          </w:p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电子签</w:t>
            </w:r>
          </w:p>
        </w:tc>
        <w:tc>
          <w:tcPr>
            <w:tcW w:w="6023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预防接种知情同意书电子签名</w:t>
            </w:r>
          </w:p>
          <w:p>
            <w:pPr>
              <w:numPr>
                <w:ilvl w:val="0"/>
                <w:numId w:val="3"/>
              </w:numPr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数据上传</w:t>
            </w:r>
          </w:p>
          <w:p>
            <w:pPr>
              <w:numPr>
                <w:ilvl w:val="0"/>
                <w:numId w:val="3"/>
              </w:numPr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同意书预览</w:t>
            </w:r>
          </w:p>
          <w:p>
            <w:pPr>
              <w:numPr>
                <w:ilvl w:val="0"/>
                <w:numId w:val="3"/>
              </w:numPr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图像采集</w:t>
            </w:r>
          </w:p>
        </w:tc>
        <w:tc>
          <w:tcPr>
            <w:tcW w:w="738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  <w:t>4</w:t>
            </w:r>
          </w:p>
        </w:tc>
        <w:tc>
          <w:tcPr>
            <w:tcW w:w="2216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color w:val="auto"/>
                <w:sz w:val="18"/>
                <w:szCs w:val="18"/>
              </w:rPr>
              <w:t>专用疫苗出入库手持终端</w:t>
            </w:r>
          </w:p>
          <w:p>
            <w:pPr>
              <w:jc w:val="center"/>
              <w:rPr>
                <w:rFonts w:hint="eastAsia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color w:val="auto"/>
                <w:sz w:val="18"/>
                <w:szCs w:val="18"/>
              </w:rPr>
              <w:t>（含软硬件）</w:t>
            </w:r>
          </w:p>
          <w:p>
            <w:pPr>
              <w:jc w:val="center"/>
              <w:rPr>
                <w:rFonts w:hint="eastAsia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023" w:type="dxa"/>
            <w:noWrap w:val="0"/>
            <w:vAlign w:val="center"/>
          </w:tcPr>
          <w:p>
            <w:pPr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支持扫描、打印、红外、WIF802.11 a/b/g/n/acI、支持4G移动/联通/电信的LTE 网络、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具备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android或其他OS，</w:t>
            </w:r>
            <w:r>
              <w:rPr>
                <w:rFonts w:hint="eastAsia"/>
                <w:color w:val="auto"/>
                <w:sz w:val="18"/>
                <w:szCs w:val="18"/>
              </w:rPr>
              <w:t>内置专用软件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、</w:t>
            </w:r>
            <w:r>
              <w:rPr>
                <w:rFonts w:hint="eastAsia"/>
                <w:color w:val="auto"/>
                <w:sz w:val="18"/>
                <w:szCs w:val="18"/>
              </w:rPr>
              <w:t>集成高性能摄像头</w:t>
            </w:r>
          </w:p>
          <w:p>
            <w:pPr>
              <w:rPr>
                <w:rFonts w:hint="default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可完成</w:t>
            </w:r>
            <w:r>
              <w:rPr>
                <w:rFonts w:hint="eastAsia"/>
                <w:color w:val="auto"/>
                <w:sz w:val="18"/>
                <w:szCs w:val="18"/>
              </w:rPr>
              <w:t>收发疫苗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、</w:t>
            </w:r>
            <w:r>
              <w:rPr>
                <w:rFonts w:hint="eastAsia"/>
                <w:color w:val="auto"/>
                <w:sz w:val="18"/>
                <w:szCs w:val="18"/>
              </w:rPr>
              <w:t>外出接种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、</w:t>
            </w:r>
            <w:r>
              <w:rPr>
                <w:rFonts w:hint="eastAsia"/>
                <w:color w:val="auto"/>
                <w:sz w:val="18"/>
                <w:szCs w:val="18"/>
              </w:rPr>
              <w:t>疫苗盘点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、</w:t>
            </w:r>
            <w:r>
              <w:rPr>
                <w:rFonts w:hint="eastAsia"/>
                <w:color w:val="auto"/>
                <w:sz w:val="18"/>
                <w:szCs w:val="18"/>
              </w:rPr>
              <w:t>期初建账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、</w:t>
            </w:r>
            <w:r>
              <w:rPr>
                <w:rFonts w:hint="eastAsia"/>
                <w:color w:val="auto"/>
                <w:sz w:val="18"/>
                <w:szCs w:val="18"/>
              </w:rPr>
              <w:t>多苗发放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、</w:t>
            </w:r>
            <w:r>
              <w:rPr>
                <w:rFonts w:hint="eastAsia"/>
                <w:color w:val="auto"/>
                <w:sz w:val="18"/>
                <w:szCs w:val="18"/>
              </w:rPr>
              <w:t>清单打印</w:t>
            </w:r>
          </w:p>
        </w:tc>
        <w:tc>
          <w:tcPr>
            <w:tcW w:w="738" w:type="dxa"/>
            <w:noWrap w:val="0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  <w:t>5</w:t>
            </w:r>
          </w:p>
        </w:tc>
        <w:tc>
          <w:tcPr>
            <w:tcW w:w="221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存折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w w:val="100"/>
                <w:kern w:val="2"/>
                <w:sz w:val="18"/>
                <w:szCs w:val="18"/>
                <w:shd w:val="clear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针式打印机</w:t>
            </w:r>
          </w:p>
        </w:tc>
        <w:tc>
          <w:tcPr>
            <w:tcW w:w="6023" w:type="dxa"/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高速24针专业存折针式打印机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1.可打印厚度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</w:rPr>
              <w:t>.0MM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2.可选页码识别功能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3.与软件兼容度好，即插即用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4.采用国产自主芯片</w:t>
            </w:r>
          </w:p>
          <w:p>
            <w:pPr>
              <w:rPr>
                <w:rFonts w:hint="eastAsia" w:ascii="Calibri" w:hAnsi="Calibri" w:eastAsia="宋体" w:cs="Times New Roman"/>
                <w:w w:val="100"/>
                <w:kern w:val="2"/>
                <w:sz w:val="18"/>
                <w:szCs w:val="18"/>
                <w:shd w:val="clear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5.完善的服务体系，可提供上门服务</w:t>
            </w:r>
          </w:p>
        </w:tc>
        <w:tc>
          <w:tcPr>
            <w:tcW w:w="738" w:type="dxa"/>
            <w:noWrap w:val="0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</w:rPr>
              <w:t>2台</w:t>
            </w:r>
          </w:p>
        </w:tc>
      </w:tr>
    </w:tbl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  <w:r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  <w:t>附件2：比选文件格式</w:t>
      </w:r>
    </w:p>
    <w:p>
      <w:pPr>
        <w:pStyle w:val="41"/>
        <w:numPr>
          <w:ilvl w:val="0"/>
          <w:numId w:val="4"/>
        </w:numPr>
        <w:autoSpaceDE/>
        <w:autoSpaceDN/>
        <w:bidi w:val="0"/>
        <w:spacing w:before="0" w:after="160" w:line="240" w:lineRule="auto"/>
        <w:ind w:left="720" w:right="150" w:hanging="720"/>
        <w:jc w:val="left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公司资质（复印件盖鲜章）</w:t>
      </w:r>
    </w:p>
    <w:p>
      <w:pPr>
        <w:pStyle w:val="41"/>
        <w:numPr>
          <w:ilvl w:val="0"/>
          <w:numId w:val="4"/>
        </w:numPr>
        <w:autoSpaceDE/>
        <w:autoSpaceDN/>
        <w:bidi w:val="0"/>
        <w:spacing w:before="0" w:after="160" w:line="240" w:lineRule="auto"/>
        <w:ind w:left="720" w:right="0" w:hanging="72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法人授权委托函</w:t>
      </w:r>
    </w:p>
    <w:p>
      <w:pPr>
        <w:pStyle w:val="41"/>
        <w:numPr>
          <w:ilvl w:val="0"/>
          <w:numId w:val="4"/>
        </w:numPr>
        <w:autoSpaceDE/>
        <w:autoSpaceDN/>
        <w:bidi w:val="0"/>
        <w:spacing w:before="0" w:after="160" w:line="240" w:lineRule="auto"/>
        <w:ind w:left="720" w:right="0" w:hanging="72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代理人身份证明</w:t>
      </w:r>
    </w:p>
    <w:p>
      <w:pPr>
        <w:pStyle w:val="41"/>
        <w:numPr>
          <w:ilvl w:val="0"/>
          <w:numId w:val="4"/>
        </w:numPr>
        <w:autoSpaceDE/>
        <w:autoSpaceDN/>
        <w:bidi w:val="0"/>
        <w:spacing w:before="0" w:after="160" w:line="240" w:lineRule="auto"/>
        <w:ind w:left="720" w:right="0" w:hanging="72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报价函</w:t>
      </w:r>
    </w:p>
    <w:p>
      <w:pPr>
        <w:pStyle w:val="41"/>
        <w:numPr>
          <w:ilvl w:val="0"/>
          <w:numId w:val="4"/>
        </w:numPr>
        <w:autoSpaceDE/>
        <w:autoSpaceDN/>
        <w:bidi w:val="0"/>
        <w:spacing w:before="0" w:after="160" w:line="240" w:lineRule="auto"/>
        <w:ind w:left="720" w:right="0" w:hanging="720"/>
        <w:jc w:val="both"/>
        <w:rPr>
          <w:rFonts w:hint="default" w:ascii="Calibri" w:hAnsi="宋体" w:eastAsia="宋体"/>
          <w:color w:val="000000" w:themeColor="text1"/>
          <w:position w:val="0"/>
          <w:sz w:val="30"/>
          <w:szCs w:val="30"/>
        </w:rPr>
      </w:pPr>
      <w:r>
        <w:rPr>
          <w:rFonts w:hint="default" w:ascii="Calibri" w:hAnsi="宋体" w:eastAsia="宋体"/>
          <w:color w:val="000000" w:themeColor="text1"/>
          <w:position w:val="0"/>
          <w:sz w:val="30"/>
          <w:szCs w:val="30"/>
        </w:rPr>
        <w:t>生产企业相关授权书</w:t>
      </w:r>
    </w:p>
    <w:p>
      <w:pPr>
        <w:pStyle w:val="41"/>
        <w:numPr>
          <w:ilvl w:val="0"/>
          <w:numId w:val="4"/>
        </w:numPr>
        <w:autoSpaceDE/>
        <w:autoSpaceDN/>
        <w:bidi w:val="0"/>
        <w:spacing w:before="0" w:after="160" w:line="240" w:lineRule="auto"/>
        <w:ind w:left="720" w:right="0" w:hanging="72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技术参数响应表（标注偏离情况）</w:t>
      </w:r>
    </w:p>
    <w:p>
      <w:pPr>
        <w:pStyle w:val="41"/>
        <w:numPr>
          <w:ilvl w:val="0"/>
          <w:numId w:val="4"/>
        </w:numPr>
        <w:autoSpaceDE/>
        <w:autoSpaceDN/>
        <w:bidi w:val="0"/>
        <w:spacing w:before="0" w:after="160" w:line="240" w:lineRule="auto"/>
        <w:ind w:left="720" w:right="0" w:hanging="72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公司需要说明的其他内容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比选文件一正一副，必须有目录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numPr>
        <w:ilvl w:val="0"/>
        <w:numId w:val="0"/>
      </w:numPr>
      <w:autoSpaceDE/>
      <w:autoSpaceDN/>
      <w:snapToGrid w:val="0"/>
      <w:spacing w:before="0" w:after="160" w:line="240" w:lineRule="auto"/>
      <w:ind w:right="0" w:firstLine="0"/>
      <w:jc w:val="right"/>
      <w:rPr>
        <w:rFonts w:hint="default" w:ascii="Calibri" w:hAnsi="宋体" w:eastAsia="宋体"/>
        <w:color w:val="auto"/>
        <w:position w:val="0"/>
        <w:sz w:val="18"/>
        <w:szCs w:val="18"/>
      </w:rPr>
    </w:pPr>
    <w:r>
      <w:rPr>
        <w:rFonts w:hint="default" w:ascii="Calibri" w:hAnsi="宋体" w:eastAsia="宋体"/>
        <w:color w:val="auto"/>
        <w:position w:val="0"/>
        <w:sz w:val="18"/>
        <w:szCs w:val="18"/>
      </w:rPr>
      <w:fldChar w:fldCharType="begin"/>
    </w:r>
    <w:r>
      <w:instrText xml:space="preserve">PAGE  \* MERGEFORMAT</w:instrText>
    </w:r>
    <w:r>
      <w:fldChar w:fldCharType="separate"/>
    </w:r>
    <w:r>
      <w:rPr>
        <w:rFonts w:hint="default" w:ascii="Calibri" w:hAnsi="宋体" w:eastAsia="宋体"/>
        <w:color w:val="auto"/>
        <w:position w:val="0"/>
        <w:sz w:val="18"/>
        <w:szCs w:val="18"/>
      </w:rPr>
      <w:t>1</w:t>
    </w:r>
    <w:r>
      <w:rPr>
        <w:rFonts w:hint="default" w:ascii="Calibri" w:hAnsi="宋体" w:eastAsia="宋体"/>
        <w:color w:val="auto"/>
        <w:position w:val="0"/>
        <w:sz w:val="18"/>
        <w:szCs w:val="18"/>
      </w:rPr>
      <w:fldChar w:fldCharType="end"/>
    </w:r>
  </w:p>
  <w:p>
    <w:pPr>
      <w:pStyle w:val="17"/>
      <w:numPr>
        <w:ilvl w:val="0"/>
        <w:numId w:val="0"/>
      </w:numPr>
      <w:autoSpaceDE/>
      <w:autoSpaceDN/>
      <w:snapToGrid w:val="0"/>
      <w:spacing w:before="0" w:after="160" w:line="240" w:lineRule="auto"/>
      <w:ind w:right="0" w:firstLine="0"/>
      <w:jc w:val="left"/>
      <w:rPr>
        <w:rFonts w:hint="default" w:ascii="Calibri" w:hAnsi="宋体" w:eastAsia="宋体"/>
        <w:color w:val="auto"/>
        <w:position w:val="0"/>
        <w:sz w:val="18"/>
        <w:szCs w:val="1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numPr>
        <w:ilvl w:val="0"/>
        <w:numId w:val="0"/>
      </w:numPr>
      <w:pBdr>
        <w:bottom w:val="single" w:color="000000" w:sz="6" w:space="0"/>
      </w:pBdr>
      <w:autoSpaceDE/>
      <w:autoSpaceDN/>
      <w:snapToGrid w:val="0"/>
      <w:spacing w:before="0" w:after="160" w:line="240" w:lineRule="auto"/>
      <w:ind w:right="0" w:firstLine="0"/>
      <w:jc w:val="center"/>
      <w:rPr>
        <w:rFonts w:hint="default" w:ascii="Calibri" w:hAnsi="宋体" w:eastAsia="宋体"/>
        <w:color w:val="auto"/>
        <w:position w:val="0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97B6263"/>
    <w:multiLevelType w:val="singleLevel"/>
    <w:tmpl w:val="B97B626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63B754F"/>
    <w:multiLevelType w:val="singleLevel"/>
    <w:tmpl w:val="F63B754F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BC7274D"/>
    <w:multiLevelType w:val="singleLevel"/>
    <w:tmpl w:val="FBC7274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2F000001"/>
    <w:multiLevelType w:val="multilevel"/>
    <w:tmpl w:val="2F000001"/>
    <w:lvl w:ilvl="0" w:tentative="0">
      <w:start w:val="1"/>
      <w:numFmt w:val="decimal"/>
      <w:lvlText w:val="%1、"/>
      <w:lvlJc w:val="left"/>
      <w:pPr>
        <w:ind w:left="720" w:hanging="720"/>
        <w:jc w:val="both"/>
      </w:pPr>
      <w:rPr>
        <w:w w:val="100"/>
        <w:sz w:val="20"/>
        <w:szCs w:val="20"/>
        <w:shd w:val="clear"/>
      </w:rPr>
    </w:lvl>
    <w:lvl w:ilvl="1" w:tentative="0">
      <w:start w:val="1"/>
      <w:numFmt w:val="lowerLetter"/>
      <w:lvlText w:val="%2)"/>
      <w:lvlJc w:val="left"/>
      <w:pPr>
        <w:ind w:left="840" w:hanging="420"/>
        <w:jc w:val="both"/>
      </w:pPr>
    </w:lvl>
    <w:lvl w:ilvl="2" w:tentative="0">
      <w:start w:val="1"/>
      <w:numFmt w:val="lowerRoman"/>
      <w:lvlText w:val="%3."/>
      <w:lvlJc w:val="right"/>
      <w:pPr>
        <w:ind w:left="1260" w:hanging="420"/>
        <w:jc w:val="both"/>
      </w:pPr>
    </w:lvl>
    <w:lvl w:ilvl="3" w:tentative="0">
      <w:start w:val="1"/>
      <w:numFmt w:val="decimal"/>
      <w:lvlText w:val="%4."/>
      <w:lvlJc w:val="left"/>
      <w:pPr>
        <w:ind w:left="1680" w:hanging="420"/>
        <w:jc w:val="both"/>
      </w:pPr>
    </w:lvl>
    <w:lvl w:ilvl="4" w:tentative="0">
      <w:start w:val="1"/>
      <w:numFmt w:val="lowerLetter"/>
      <w:lvlText w:val="%5)"/>
      <w:lvlJc w:val="left"/>
      <w:pPr>
        <w:ind w:left="2100" w:hanging="420"/>
        <w:jc w:val="both"/>
      </w:pPr>
    </w:lvl>
    <w:lvl w:ilvl="5" w:tentative="0">
      <w:start w:val="1"/>
      <w:numFmt w:val="lowerRoman"/>
      <w:lvlText w:val="%6."/>
      <w:lvlJc w:val="right"/>
      <w:pPr>
        <w:ind w:left="2520" w:hanging="420"/>
        <w:jc w:val="both"/>
      </w:pPr>
    </w:lvl>
    <w:lvl w:ilvl="6" w:tentative="0">
      <w:start w:val="1"/>
      <w:numFmt w:val="decimal"/>
      <w:lvlText w:val="%7."/>
      <w:lvlJc w:val="left"/>
      <w:pPr>
        <w:ind w:left="2940" w:hanging="420"/>
        <w:jc w:val="both"/>
      </w:pPr>
    </w:lvl>
    <w:lvl w:ilvl="7" w:tentative="0">
      <w:start w:val="1"/>
      <w:numFmt w:val="lowerLetter"/>
      <w:lvlText w:val="%8)"/>
      <w:lvlJc w:val="left"/>
      <w:pPr>
        <w:ind w:left="3360" w:hanging="420"/>
        <w:jc w:val="both"/>
      </w:pPr>
    </w:lvl>
    <w:lvl w:ilvl="8" w:tentative="0">
      <w:start w:val="1"/>
      <w:numFmt w:val="lowerRoman"/>
      <w:lvlText w:val="%9."/>
      <w:lvlJc w:val="right"/>
      <w:pPr>
        <w:ind w:left="3780" w:hanging="420"/>
        <w:jc w:val="both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compressPunctuation"/>
  <w:compat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0637585E"/>
    <w:rsid w:val="089116ED"/>
    <w:rsid w:val="13282FDB"/>
    <w:rsid w:val="1DAF3544"/>
    <w:rsid w:val="39A82DCF"/>
    <w:rsid w:val="6B337053"/>
    <w:rsid w:val="747D7121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155" w:semiHidden="0" w:name="header"/>
    <w:lsdException w:qFormat="1" w:uiPriority="154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156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qFormat="1" w:uiPriority="152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157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37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153" w:name="Balloon Text"/>
    <w:lsdException w:qFormat="1" w:unhideWhenUsed="0" w:uiPriority="38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ordWrap/>
      <w:autoSpaceDE/>
      <w:autoSpaceDN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">
    <w:name w:val="heading 1"/>
    <w:next w:val="1"/>
    <w:qFormat/>
    <w:uiPriority w:val="7"/>
    <w:pPr>
      <w:jc w:val="both"/>
    </w:pPr>
    <w:rPr>
      <w:rFonts w:ascii="Calibri" w:hAnsi="Calibri" w:eastAsia="宋体" w:cs="Times New Roman"/>
      <w:w w:val="100"/>
      <w:sz w:val="28"/>
      <w:szCs w:val="28"/>
      <w:shd w:val="clear"/>
    </w:rPr>
  </w:style>
  <w:style w:type="paragraph" w:styleId="3">
    <w:name w:val="heading 2"/>
    <w:basedOn w:val="1"/>
    <w:next w:val="1"/>
    <w:link w:val="45"/>
    <w:qFormat/>
    <w:uiPriority w:val="8"/>
    <w:pPr>
      <w:keepNext/>
      <w:keepLines/>
      <w:widowControl/>
      <w:wordWrap/>
      <w:autoSpaceDE/>
      <w:autoSpaceDN/>
    </w:pPr>
    <w:rPr>
      <w:rFonts w:ascii="Arial" w:hAnsi="Arial" w:eastAsia="Times New Roman"/>
      <w:b/>
      <w:w w:val="100"/>
      <w:sz w:val="32"/>
      <w:szCs w:val="32"/>
      <w:shd w:val="clear"/>
    </w:rPr>
  </w:style>
  <w:style w:type="paragraph" w:styleId="4">
    <w:name w:val="heading 3"/>
    <w:next w:val="1"/>
    <w:qFormat/>
    <w:uiPriority w:val="9"/>
    <w:pPr>
      <w:ind w:left="1000" w:hanging="40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5">
    <w:name w:val="heading 4"/>
    <w:next w:val="1"/>
    <w:qFormat/>
    <w:uiPriority w:val="10"/>
    <w:pPr>
      <w:ind w:left="1200" w:hanging="400"/>
      <w:jc w:val="both"/>
    </w:pPr>
    <w:rPr>
      <w:rFonts w:ascii="Calibri" w:hAnsi="Calibri" w:eastAsia="宋体" w:cs="Times New Roman"/>
      <w:b/>
      <w:w w:val="100"/>
      <w:sz w:val="21"/>
      <w:szCs w:val="21"/>
      <w:shd w:val="clear"/>
    </w:rPr>
  </w:style>
  <w:style w:type="paragraph" w:styleId="6">
    <w:name w:val="heading 5"/>
    <w:next w:val="1"/>
    <w:qFormat/>
    <w:uiPriority w:val="11"/>
    <w:pPr>
      <w:ind w:left="1400" w:hanging="40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7">
    <w:name w:val="heading 6"/>
    <w:next w:val="1"/>
    <w:qFormat/>
    <w:uiPriority w:val="12"/>
    <w:pPr>
      <w:ind w:left="1600" w:hanging="400"/>
      <w:jc w:val="both"/>
    </w:pPr>
    <w:rPr>
      <w:rFonts w:ascii="Calibri" w:hAnsi="Calibri" w:eastAsia="宋体" w:cs="Times New Roman"/>
      <w:b/>
      <w:w w:val="100"/>
      <w:sz w:val="21"/>
      <w:szCs w:val="21"/>
      <w:shd w:val="clear"/>
    </w:rPr>
  </w:style>
  <w:style w:type="paragraph" w:styleId="8">
    <w:name w:val="heading 7"/>
    <w:next w:val="1"/>
    <w:qFormat/>
    <w:uiPriority w:val="13"/>
    <w:pPr>
      <w:ind w:left="1800" w:hanging="40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9">
    <w:name w:val="heading 8"/>
    <w:next w:val="1"/>
    <w:qFormat/>
    <w:uiPriority w:val="14"/>
    <w:pPr>
      <w:ind w:left="2000" w:hanging="40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10">
    <w:name w:val="heading 9"/>
    <w:next w:val="1"/>
    <w:qFormat/>
    <w:uiPriority w:val="15"/>
    <w:pPr>
      <w:ind w:left="2200" w:hanging="40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character" w:default="1" w:styleId="28">
    <w:name w:val="Default Paragraph Font"/>
    <w:semiHidden/>
    <w:unhideWhenUsed/>
    <w:qFormat/>
    <w:uiPriority w:val="2"/>
  </w:style>
  <w:style w:type="table" w:default="1" w:styleId="26">
    <w:name w:val="Normal Table"/>
    <w:qFormat/>
    <w:uiPriority w:val="37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ind w:left="2550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12">
    <w:name w:val="toc 5"/>
    <w:next w:val="1"/>
    <w:unhideWhenUsed/>
    <w:qFormat/>
    <w:uiPriority w:val="32"/>
    <w:pPr>
      <w:ind w:left="1700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13">
    <w:name w:val="toc 3"/>
    <w:next w:val="1"/>
    <w:unhideWhenUsed/>
    <w:qFormat/>
    <w:uiPriority w:val="30"/>
    <w:pPr>
      <w:ind w:left="850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14">
    <w:name w:val="toc 8"/>
    <w:next w:val="1"/>
    <w:unhideWhenUsed/>
    <w:qFormat/>
    <w:uiPriority w:val="35"/>
    <w:pPr>
      <w:ind w:left="2975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15">
    <w:name w:val="Date"/>
    <w:basedOn w:val="1"/>
    <w:next w:val="1"/>
    <w:link w:val="48"/>
    <w:semiHidden/>
    <w:unhideWhenUsed/>
    <w:qFormat/>
    <w:uiPriority w:val="152"/>
    <w:pPr>
      <w:widowControl/>
      <w:wordWrap/>
      <w:autoSpaceDE/>
      <w:autoSpaceDN/>
      <w:ind w:left="100" w:firstLine="0"/>
    </w:pPr>
  </w:style>
  <w:style w:type="paragraph" w:styleId="16">
    <w:name w:val="Balloon Text"/>
    <w:basedOn w:val="1"/>
    <w:link w:val="49"/>
    <w:semiHidden/>
    <w:unhideWhenUsed/>
    <w:qFormat/>
    <w:uiPriority w:val="153"/>
    <w:rPr>
      <w:w w:val="100"/>
      <w:sz w:val="18"/>
      <w:szCs w:val="18"/>
      <w:shd w:val="clear"/>
    </w:rPr>
  </w:style>
  <w:style w:type="paragraph" w:styleId="17">
    <w:name w:val="footer"/>
    <w:basedOn w:val="1"/>
    <w:link w:val="44"/>
    <w:unhideWhenUsed/>
    <w:qFormat/>
    <w:uiPriority w:val="154"/>
    <w:pPr>
      <w:widowControl/>
      <w:tabs>
        <w:tab w:val="center" w:pos="4153"/>
        <w:tab w:val="right" w:pos="8306"/>
      </w:tabs>
      <w:wordWrap/>
      <w:autoSpaceDE/>
      <w:autoSpaceDN/>
    </w:pPr>
    <w:rPr>
      <w:w w:val="100"/>
      <w:sz w:val="18"/>
      <w:szCs w:val="18"/>
      <w:shd w:val="clear"/>
    </w:rPr>
  </w:style>
  <w:style w:type="paragraph" w:styleId="18">
    <w:name w:val="header"/>
    <w:basedOn w:val="1"/>
    <w:link w:val="43"/>
    <w:unhideWhenUsed/>
    <w:qFormat/>
    <w:uiPriority w:val="155"/>
    <w:pPr>
      <w:widowControl/>
      <w:tabs>
        <w:tab w:val="center" w:pos="4153"/>
        <w:tab w:val="right" w:pos="8306"/>
      </w:tabs>
      <w:wordWrap/>
      <w:autoSpaceDE/>
      <w:autoSpaceDN/>
      <w:jc w:val="center"/>
    </w:pPr>
    <w:rPr>
      <w:w w:val="100"/>
      <w:sz w:val="18"/>
      <w:szCs w:val="18"/>
      <w:shd w:val="clear"/>
    </w:rPr>
  </w:style>
  <w:style w:type="paragraph" w:styleId="19">
    <w:name w:val="toc 1"/>
    <w:basedOn w:val="1"/>
    <w:next w:val="1"/>
    <w:qFormat/>
    <w:uiPriority w:val="28"/>
    <w:pPr>
      <w:widowControl/>
      <w:wordWrap/>
      <w:autoSpaceDE/>
      <w:autoSpaceDN/>
    </w:pPr>
    <w:rPr>
      <w:rFonts w:ascii="Calibri" w:hAnsi="Calibri" w:eastAsia="Times New Roman"/>
      <w:w w:val="100"/>
      <w:sz w:val="20"/>
      <w:szCs w:val="20"/>
      <w:shd w:val="clear"/>
    </w:rPr>
  </w:style>
  <w:style w:type="paragraph" w:styleId="20">
    <w:name w:val="toc 4"/>
    <w:next w:val="1"/>
    <w:unhideWhenUsed/>
    <w:qFormat/>
    <w:uiPriority w:val="31"/>
    <w:pPr>
      <w:ind w:left="1275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1">
    <w:name w:val="Subtitle"/>
    <w:qFormat/>
    <w:uiPriority w:val="16"/>
    <w:pPr>
      <w:jc w:val="center"/>
    </w:pPr>
    <w:rPr>
      <w:rFonts w:ascii="Calibri" w:hAnsi="Calibri" w:eastAsia="宋体" w:cs="Times New Roman"/>
      <w:w w:val="100"/>
      <w:sz w:val="24"/>
      <w:szCs w:val="24"/>
      <w:shd w:val="clear"/>
    </w:rPr>
  </w:style>
  <w:style w:type="paragraph" w:styleId="22">
    <w:name w:val="toc 6"/>
    <w:next w:val="1"/>
    <w:unhideWhenUsed/>
    <w:qFormat/>
    <w:uiPriority w:val="33"/>
    <w:pPr>
      <w:ind w:left="2125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3">
    <w:name w:val="toc 2"/>
    <w:next w:val="1"/>
    <w:unhideWhenUsed/>
    <w:qFormat/>
    <w:uiPriority w:val="29"/>
    <w:pPr>
      <w:ind w:left="425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4">
    <w:name w:val="toc 9"/>
    <w:next w:val="1"/>
    <w:unhideWhenUsed/>
    <w:qFormat/>
    <w:uiPriority w:val="36"/>
    <w:pPr>
      <w:ind w:left="3400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5">
    <w:name w:val="Title"/>
    <w:qFormat/>
    <w:uiPriority w:val="6"/>
    <w:pPr>
      <w:jc w:val="center"/>
    </w:pPr>
    <w:rPr>
      <w:rFonts w:ascii="Calibri" w:hAnsi="Calibri" w:eastAsia="宋体" w:cs="Times New Roman"/>
      <w:b/>
      <w:w w:val="100"/>
      <w:sz w:val="32"/>
      <w:szCs w:val="32"/>
      <w:shd w:val="clear"/>
    </w:rPr>
  </w:style>
  <w:style w:type="table" w:styleId="27">
    <w:name w:val="Table Grid"/>
    <w:basedOn w:val="26"/>
    <w:qFormat/>
    <w:uiPriority w:val="38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9">
    <w:name w:val="Strong"/>
    <w:qFormat/>
    <w:uiPriority w:val="20"/>
    <w:rPr>
      <w:b/>
      <w:w w:val="100"/>
      <w:sz w:val="21"/>
      <w:szCs w:val="21"/>
      <w:shd w:val="clear"/>
    </w:rPr>
  </w:style>
  <w:style w:type="character" w:styleId="30">
    <w:name w:val="page number"/>
    <w:qFormat/>
    <w:uiPriority w:val="156"/>
  </w:style>
  <w:style w:type="character" w:styleId="31">
    <w:name w:val="Emphasis"/>
    <w:qFormat/>
    <w:uiPriority w:val="18"/>
    <w:rPr>
      <w:i/>
      <w:w w:val="100"/>
      <w:sz w:val="21"/>
      <w:szCs w:val="21"/>
      <w:shd w:val="clear"/>
    </w:rPr>
  </w:style>
  <w:style w:type="character" w:styleId="32">
    <w:name w:val="Hyperlink"/>
    <w:basedOn w:val="28"/>
    <w:unhideWhenUsed/>
    <w:qFormat/>
    <w:uiPriority w:val="157"/>
    <w:rPr>
      <w:color w:val="0000FF" w:themeColor="hyperlink"/>
      <w:w w:val="100"/>
      <w:sz w:val="20"/>
      <w:szCs w:val="20"/>
      <w:u w:val="single"/>
      <w:shd w:val="clear"/>
    </w:rPr>
  </w:style>
  <w:style w:type="paragraph" w:styleId="33">
    <w:name w:val="No Spacing"/>
    <w:qFormat/>
    <w:uiPriority w:val="5"/>
    <w:pPr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character" w:customStyle="1" w:styleId="34">
    <w:name w:val="Subtle Emphasis"/>
    <w:qFormat/>
    <w:uiPriority w:val="17"/>
    <w:rPr>
      <w:i/>
      <w:color w:val="404040"/>
      <w:w w:val="100"/>
      <w:sz w:val="21"/>
      <w:szCs w:val="21"/>
      <w:shd w:val="clear"/>
    </w:rPr>
  </w:style>
  <w:style w:type="character" w:customStyle="1" w:styleId="35">
    <w:name w:val="Intense Emphasis"/>
    <w:qFormat/>
    <w:uiPriority w:val="19"/>
    <w:rPr>
      <w:i/>
      <w:color w:val="5B9BD5"/>
      <w:w w:val="100"/>
      <w:sz w:val="21"/>
      <w:szCs w:val="21"/>
      <w:shd w:val="clear"/>
    </w:rPr>
  </w:style>
  <w:style w:type="paragraph" w:styleId="36">
    <w:name w:val="Quote"/>
    <w:qFormat/>
    <w:uiPriority w:val="21"/>
    <w:pPr>
      <w:ind w:left="864" w:right="864" w:firstLine="0"/>
      <w:jc w:val="center"/>
    </w:pPr>
    <w:rPr>
      <w:rFonts w:ascii="Calibri" w:hAnsi="Calibri" w:eastAsia="宋体" w:cs="Times New Roman"/>
      <w:i/>
      <w:color w:val="404040"/>
      <w:w w:val="100"/>
      <w:sz w:val="21"/>
      <w:szCs w:val="21"/>
      <w:shd w:val="clear"/>
    </w:rPr>
  </w:style>
  <w:style w:type="paragraph" w:styleId="37">
    <w:name w:val="Intense Quote"/>
    <w:qFormat/>
    <w:uiPriority w:val="22"/>
    <w:pPr>
      <w:ind w:left="950" w:right="950" w:firstLine="0"/>
      <w:jc w:val="center"/>
    </w:pPr>
    <w:rPr>
      <w:rFonts w:ascii="Calibri" w:hAnsi="Calibri" w:eastAsia="宋体" w:cs="Times New Roman"/>
      <w:i/>
      <w:color w:val="5B9BD5"/>
      <w:w w:val="100"/>
      <w:sz w:val="21"/>
      <w:szCs w:val="21"/>
      <w:shd w:val="clear"/>
    </w:rPr>
  </w:style>
  <w:style w:type="character" w:customStyle="1" w:styleId="38">
    <w:name w:val="Subtle Reference"/>
    <w:qFormat/>
    <w:uiPriority w:val="23"/>
    <w:rPr>
      <w:smallCaps/>
      <w:color w:val="5A5A5A"/>
      <w:w w:val="100"/>
      <w:sz w:val="21"/>
      <w:szCs w:val="21"/>
      <w:shd w:val="clear"/>
    </w:rPr>
  </w:style>
  <w:style w:type="character" w:customStyle="1" w:styleId="39">
    <w:name w:val="Intense Reference"/>
    <w:qFormat/>
    <w:uiPriority w:val="24"/>
    <w:rPr>
      <w:b/>
      <w:smallCaps/>
      <w:color w:val="5B9BD5"/>
      <w:w w:val="100"/>
      <w:sz w:val="21"/>
      <w:szCs w:val="21"/>
      <w:shd w:val="clear"/>
    </w:rPr>
  </w:style>
  <w:style w:type="character" w:customStyle="1" w:styleId="40">
    <w:name w:val="Book Title"/>
    <w:qFormat/>
    <w:uiPriority w:val="25"/>
    <w:rPr>
      <w:b/>
      <w:i/>
      <w:w w:val="100"/>
      <w:sz w:val="21"/>
      <w:szCs w:val="21"/>
      <w:shd w:val="clear"/>
    </w:rPr>
  </w:style>
  <w:style w:type="paragraph" w:styleId="41">
    <w:name w:val="List Paragraph"/>
    <w:basedOn w:val="1"/>
    <w:qFormat/>
    <w:uiPriority w:val="26"/>
    <w:pPr>
      <w:widowControl/>
      <w:wordWrap/>
      <w:autoSpaceDE/>
      <w:autoSpaceDN/>
      <w:ind w:firstLine="420"/>
    </w:pPr>
  </w:style>
  <w:style w:type="paragraph" w:customStyle="1" w:styleId="42">
    <w:name w:val="TOC Heading"/>
    <w:unhideWhenUsed/>
    <w:qFormat/>
    <w:uiPriority w:val="27"/>
    <w:rPr>
      <w:rFonts w:ascii="Calibri" w:hAnsi="Calibri" w:eastAsia="宋体" w:cs="Times New Roman"/>
      <w:color w:val="2E74B5"/>
      <w:w w:val="100"/>
      <w:sz w:val="32"/>
      <w:szCs w:val="32"/>
      <w:shd w:val="clear"/>
    </w:rPr>
  </w:style>
  <w:style w:type="character" w:customStyle="1" w:styleId="43">
    <w:name w:val="页眉 Char"/>
    <w:basedOn w:val="28"/>
    <w:link w:val="18"/>
    <w:qFormat/>
    <w:uiPriority w:val="158"/>
    <w:rPr>
      <w:w w:val="100"/>
      <w:sz w:val="18"/>
      <w:szCs w:val="18"/>
      <w:shd w:val="clear"/>
    </w:rPr>
  </w:style>
  <w:style w:type="character" w:customStyle="1" w:styleId="44">
    <w:name w:val="页脚 Char"/>
    <w:basedOn w:val="28"/>
    <w:link w:val="17"/>
    <w:qFormat/>
    <w:uiPriority w:val="159"/>
    <w:rPr>
      <w:w w:val="100"/>
      <w:sz w:val="18"/>
      <w:szCs w:val="18"/>
      <w:shd w:val="clear"/>
    </w:rPr>
  </w:style>
  <w:style w:type="character" w:customStyle="1" w:styleId="45">
    <w:name w:val="标题 2 Char"/>
    <w:basedOn w:val="28"/>
    <w:link w:val="3"/>
    <w:qFormat/>
    <w:uiPriority w:val="160"/>
    <w:rPr>
      <w:rFonts w:ascii="Arial" w:hAnsi="Arial" w:eastAsia="Times New Roman"/>
      <w:b/>
      <w:w w:val="100"/>
      <w:sz w:val="32"/>
      <w:szCs w:val="32"/>
      <w:shd w:val="clear"/>
    </w:rPr>
  </w:style>
  <w:style w:type="character" w:customStyle="1" w:styleId="46">
    <w:name w:val="列出段落 Char"/>
    <w:link w:val="47"/>
    <w:qFormat/>
    <w:uiPriority w:val="161"/>
    <w:rPr>
      <w:rFonts w:ascii="宋体" w:hAnsi="宋体" w:eastAsia="宋体"/>
      <w:w w:val="100"/>
      <w:sz w:val="24"/>
      <w:szCs w:val="24"/>
      <w:shd w:val="clear"/>
    </w:rPr>
  </w:style>
  <w:style w:type="paragraph" w:customStyle="1" w:styleId="47">
    <w:name w:val="列出段落1"/>
    <w:basedOn w:val="1"/>
    <w:link w:val="46"/>
    <w:qFormat/>
    <w:uiPriority w:val="162"/>
    <w:pPr>
      <w:widowControl/>
      <w:wordWrap/>
      <w:autoSpaceDE/>
      <w:autoSpaceDN/>
      <w:ind w:firstLine="420"/>
    </w:pPr>
    <w:rPr>
      <w:rFonts w:ascii="宋体" w:hAnsi="宋体" w:eastAsia="宋体"/>
      <w:w w:val="100"/>
      <w:sz w:val="24"/>
      <w:szCs w:val="24"/>
      <w:shd w:val="clear"/>
    </w:rPr>
  </w:style>
  <w:style w:type="character" w:customStyle="1" w:styleId="48">
    <w:name w:val="日期 Char"/>
    <w:basedOn w:val="28"/>
    <w:link w:val="15"/>
    <w:semiHidden/>
    <w:qFormat/>
    <w:uiPriority w:val="163"/>
  </w:style>
  <w:style w:type="character" w:customStyle="1" w:styleId="49">
    <w:name w:val="批注框文本 Char"/>
    <w:basedOn w:val="28"/>
    <w:link w:val="16"/>
    <w:semiHidden/>
    <w:qFormat/>
    <w:uiPriority w:val="164"/>
    <w:rPr>
      <w:w w:val="100"/>
      <w:sz w:val="18"/>
      <w:szCs w:val="18"/>
      <w:shd w:val="clear"/>
    </w:rPr>
  </w:style>
  <w:style w:type="character" w:customStyle="1" w:styleId="50">
    <w:name w:val="apple-converted-space"/>
    <w:basedOn w:val="2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5</Pages>
  <Words>312</Words>
  <Characters>2091</Characters>
  <Lines>14</Lines>
  <Paragraphs>4</Paragraphs>
  <TotalTime>13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2019-09-03T02:29:00Z</dcterms:created>
  <dc:creator>HOUQING</dc:creator>
  <cp:lastModifiedBy>WPS_1559559727</cp:lastModifiedBy>
  <cp:lastPrinted>2020-04-27T07:01:00Z</cp:lastPrinted>
  <dcterms:modified xsi:type="dcterms:W3CDTF">2020-04-29T03:19:35Z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