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6"/>
          <w:szCs w:val="36"/>
        </w:rPr>
      </w:pPr>
      <w:bookmarkStart w:id="0" w:name="_Hlt101843627"/>
      <w:bookmarkEnd w:id="0"/>
      <w:bookmarkStart w:id="1" w:name="_Hlt101233737"/>
      <w:bookmarkEnd w:id="1"/>
      <w:r>
        <w:rPr>
          <w:rFonts w:hint="eastAsia"/>
          <w:b/>
          <w:sz w:val="36"/>
          <w:szCs w:val="36"/>
        </w:rPr>
        <w:t>成都市龙泉驿区妇幼保健院</w:t>
      </w:r>
    </w:p>
    <w:p>
      <w:pPr>
        <w:adjustRightInd w:val="0"/>
        <w:snapToGrid w:val="0"/>
        <w:jc w:val="center"/>
        <w:rPr>
          <w:b/>
          <w:sz w:val="36"/>
          <w:szCs w:val="36"/>
        </w:rPr>
      </w:pPr>
      <w:r>
        <w:rPr>
          <w:rFonts w:hint="eastAsia"/>
          <w:b/>
          <w:sz w:val="36"/>
          <w:szCs w:val="36"/>
        </w:rPr>
        <w:t>健康教育动画视频</w:t>
      </w:r>
      <w:r>
        <w:rPr>
          <w:b/>
          <w:sz w:val="36"/>
          <w:szCs w:val="36"/>
        </w:rPr>
        <w:t>制作</w:t>
      </w:r>
      <w:r>
        <w:rPr>
          <w:rFonts w:hint="eastAsia"/>
          <w:b/>
          <w:sz w:val="36"/>
          <w:szCs w:val="36"/>
        </w:rPr>
        <w:t>采购项目比选公告</w:t>
      </w:r>
    </w:p>
    <w:p>
      <w:pPr>
        <w:jc w:val="center"/>
        <w:rPr>
          <w:b/>
          <w:sz w:val="36"/>
          <w:szCs w:val="36"/>
        </w:rPr>
      </w:pPr>
    </w:p>
    <w:p>
      <w:pPr>
        <w:spacing w:line="360" w:lineRule="auto"/>
        <w:rPr>
          <w:sz w:val="28"/>
          <w:szCs w:val="28"/>
        </w:rPr>
      </w:pPr>
      <w:r>
        <w:rPr>
          <w:rFonts w:hint="eastAsia"/>
          <w:sz w:val="28"/>
          <w:szCs w:val="28"/>
        </w:rPr>
        <w:t>一、项目名称：健康教育动画视频</w:t>
      </w:r>
      <w:r>
        <w:rPr>
          <w:sz w:val="28"/>
          <w:szCs w:val="28"/>
        </w:rPr>
        <w:t>制作</w:t>
      </w:r>
    </w:p>
    <w:p>
      <w:pPr>
        <w:spacing w:line="360" w:lineRule="auto"/>
        <w:rPr>
          <w:sz w:val="28"/>
          <w:szCs w:val="28"/>
        </w:rPr>
      </w:pPr>
      <w:r>
        <w:rPr>
          <w:rFonts w:hint="eastAsia"/>
          <w:sz w:val="28"/>
          <w:szCs w:val="28"/>
        </w:rPr>
        <w:t>二、项目业主：成都市龙泉驿区妇幼保健院</w:t>
      </w:r>
    </w:p>
    <w:p>
      <w:pPr>
        <w:spacing w:line="360" w:lineRule="auto"/>
        <w:rPr>
          <w:sz w:val="28"/>
          <w:szCs w:val="28"/>
        </w:rPr>
      </w:pPr>
      <w:r>
        <w:rPr>
          <w:rFonts w:hint="eastAsia"/>
          <w:sz w:val="28"/>
          <w:szCs w:val="28"/>
        </w:rPr>
        <w:t>三、项目施工地：龙泉玉扬路383号</w:t>
      </w:r>
    </w:p>
    <w:p>
      <w:pPr>
        <w:spacing w:line="360" w:lineRule="auto"/>
        <w:rPr>
          <w:sz w:val="28"/>
          <w:szCs w:val="28"/>
        </w:rPr>
      </w:pPr>
      <w:r>
        <w:rPr>
          <w:rFonts w:hint="eastAsia"/>
          <w:sz w:val="28"/>
          <w:szCs w:val="28"/>
        </w:rPr>
        <w:t xml:space="preserve">四、项目内容、技术及服务要求： </w:t>
      </w:r>
    </w:p>
    <w:p>
      <w:pPr>
        <w:spacing w:line="578" w:lineRule="exact"/>
        <w:ind w:firstLine="560" w:firstLineChars="200"/>
        <w:rPr>
          <w:rFonts w:hint="eastAsia" w:ascii="宋体" w:hAnsi="宋体" w:eastAsia="宋体"/>
          <w:color w:val="000000"/>
          <w:sz w:val="28"/>
          <w:szCs w:val="28"/>
        </w:rPr>
      </w:pPr>
      <w:r>
        <w:rPr>
          <w:rFonts w:hint="eastAsia"/>
          <w:sz w:val="28"/>
          <w:szCs w:val="28"/>
        </w:rPr>
        <w:t>1、项目最高限价20万元，</w:t>
      </w:r>
      <w:r>
        <w:rPr>
          <w:rFonts w:hint="eastAsia" w:ascii="宋体" w:hAnsi="宋体" w:eastAsia="宋体"/>
          <w:color w:val="000000"/>
          <w:sz w:val="28"/>
          <w:szCs w:val="28"/>
        </w:rPr>
        <w:t>包含拍摄和后期制作所有费用。</w:t>
      </w:r>
    </w:p>
    <w:p>
      <w:pPr>
        <w:spacing w:line="578" w:lineRule="exact"/>
        <w:ind w:firstLine="560" w:firstLineChars="200"/>
        <w:rPr>
          <w:rFonts w:cs="Times New Roman" w:asciiTheme="majorEastAsia" w:hAnsiTheme="majorEastAsia" w:eastAsiaTheme="majorEastAsia"/>
          <w:sz w:val="28"/>
          <w:szCs w:val="28"/>
        </w:rPr>
      </w:pPr>
      <w:r>
        <w:rPr>
          <w:rFonts w:cs="Times New Roman" w:asciiTheme="majorEastAsia" w:hAnsiTheme="majorEastAsia" w:eastAsiaTheme="majorEastAsia"/>
          <w:sz w:val="28"/>
          <w:szCs w:val="28"/>
        </w:rPr>
        <w:t>为结合不同的宣传主题制作时长为2-3分钟的妇幼健康相关的动画宣传视频，同时充分结合微信等新媒体优势，扩展既往的健康宣传形式。</w:t>
      </w:r>
    </w:p>
    <w:p>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rFonts w:cs="Times New Roman" w:asciiTheme="majorEastAsia" w:hAnsiTheme="majorEastAsia" w:eastAsiaTheme="majorEastAsia"/>
          <w:sz w:val="28"/>
          <w:szCs w:val="28"/>
        </w:rPr>
      </w:pPr>
      <w:r>
        <w:rPr>
          <w:rFonts w:hint="eastAsia" w:cs="Times New Roman" w:asciiTheme="majorEastAsia" w:hAnsiTheme="majorEastAsia" w:eastAsiaTheme="majorEastAsia"/>
          <w:sz w:val="28"/>
          <w:szCs w:val="28"/>
        </w:rPr>
        <w:t>2、</w:t>
      </w:r>
      <w:r>
        <w:rPr>
          <w:rFonts w:cs="Times New Roman" w:asciiTheme="majorEastAsia" w:hAnsiTheme="majorEastAsia" w:eastAsiaTheme="majorEastAsia"/>
          <w:sz w:val="28"/>
          <w:szCs w:val="28"/>
        </w:rPr>
        <w:t>宣传目的</w:t>
      </w:r>
    </w:p>
    <w:p>
      <w:pPr>
        <w:spacing w:line="578" w:lineRule="exact"/>
        <w:ind w:firstLine="560" w:firstLineChars="200"/>
        <w:rPr>
          <w:rFonts w:cs="Times New Roman" w:asciiTheme="majorEastAsia" w:hAnsiTheme="majorEastAsia" w:eastAsiaTheme="majorEastAsia"/>
          <w:sz w:val="28"/>
          <w:szCs w:val="28"/>
        </w:rPr>
      </w:pPr>
      <w:r>
        <w:rPr>
          <w:rFonts w:cs="Times New Roman" w:asciiTheme="majorEastAsia" w:hAnsiTheme="majorEastAsia" w:eastAsiaTheme="majorEastAsia"/>
          <w:sz w:val="28"/>
          <w:szCs w:val="28"/>
        </w:rPr>
        <w:t>向辖区居民传授妇幼健康相关知识，更好的贯彻落实《母婴保健法》，进一步提高我区居民群众的妇幼健康知识水平和自我保健能力。</w:t>
      </w:r>
    </w:p>
    <w:p>
      <w:pPr>
        <w:pStyle w:val="14"/>
        <w:keepNext w:val="0"/>
        <w:keepLines w:val="0"/>
        <w:pageBreakBefore w:val="0"/>
        <w:widowControl w:val="0"/>
        <w:numPr>
          <w:numId w:val="0"/>
        </w:numPr>
        <w:kinsoku/>
        <w:wordWrap/>
        <w:overflowPunct/>
        <w:topLinePunct w:val="0"/>
        <w:autoSpaceDE/>
        <w:autoSpaceDN/>
        <w:bidi w:val="0"/>
        <w:adjustRightInd/>
        <w:snapToGrid/>
        <w:spacing w:line="578" w:lineRule="exact"/>
        <w:ind w:leftChars="0" w:firstLine="560" w:firstLineChars="200"/>
        <w:textAlignment w:val="auto"/>
        <w:rPr>
          <w:rFonts w:cs="Times New Roman" w:asciiTheme="majorEastAsia" w:hAnsiTheme="majorEastAsia" w:eastAsiaTheme="majorEastAsia"/>
          <w:sz w:val="28"/>
          <w:szCs w:val="28"/>
        </w:rPr>
      </w:pPr>
      <w:r>
        <w:rPr>
          <w:rFonts w:hint="eastAsia" w:cs="Times New Roman" w:asciiTheme="majorEastAsia" w:hAnsiTheme="majorEastAsia" w:eastAsiaTheme="majorEastAsia"/>
          <w:sz w:val="28"/>
          <w:szCs w:val="28"/>
          <w:lang w:val="en-US" w:eastAsia="zh-CN"/>
        </w:rPr>
        <w:t>3、</w:t>
      </w:r>
      <w:r>
        <w:rPr>
          <w:rFonts w:cs="Times New Roman" w:asciiTheme="majorEastAsia" w:hAnsiTheme="majorEastAsia" w:eastAsiaTheme="majorEastAsia"/>
          <w:sz w:val="28"/>
          <w:szCs w:val="28"/>
        </w:rPr>
        <w:t>目标受众人群</w:t>
      </w:r>
    </w:p>
    <w:p>
      <w:pPr>
        <w:spacing w:line="578" w:lineRule="exact"/>
        <w:ind w:firstLine="560" w:firstLineChars="200"/>
        <w:rPr>
          <w:rFonts w:cs="Times New Roman" w:asciiTheme="majorEastAsia" w:hAnsiTheme="majorEastAsia" w:eastAsiaTheme="majorEastAsia"/>
          <w:sz w:val="28"/>
          <w:szCs w:val="28"/>
        </w:rPr>
      </w:pPr>
      <w:r>
        <w:rPr>
          <w:rFonts w:cs="Times New Roman" w:asciiTheme="majorEastAsia" w:hAnsiTheme="majorEastAsia" w:eastAsiaTheme="majorEastAsia"/>
          <w:sz w:val="28"/>
          <w:szCs w:val="28"/>
        </w:rPr>
        <w:t>成都市龙泉驿区内的全体居民。</w:t>
      </w:r>
    </w:p>
    <w:p>
      <w:pPr>
        <w:pStyle w:val="14"/>
        <w:keepNext w:val="0"/>
        <w:keepLines w:val="0"/>
        <w:pageBreakBefore w:val="0"/>
        <w:widowControl w:val="0"/>
        <w:numPr>
          <w:numId w:val="0"/>
        </w:numPr>
        <w:kinsoku/>
        <w:wordWrap/>
        <w:overflowPunct/>
        <w:topLinePunct w:val="0"/>
        <w:autoSpaceDE/>
        <w:autoSpaceDN/>
        <w:bidi w:val="0"/>
        <w:adjustRightInd/>
        <w:snapToGrid/>
        <w:spacing w:line="578" w:lineRule="exact"/>
        <w:ind w:firstLine="560" w:firstLineChars="200"/>
        <w:textAlignment w:val="auto"/>
        <w:rPr>
          <w:rFonts w:cs="Times New Roman" w:asciiTheme="majorEastAsia" w:hAnsiTheme="majorEastAsia" w:eastAsiaTheme="majorEastAsia"/>
          <w:sz w:val="28"/>
          <w:szCs w:val="28"/>
        </w:rPr>
      </w:pPr>
      <w:r>
        <w:rPr>
          <w:rFonts w:hint="eastAsia" w:cs="Times New Roman" w:asciiTheme="majorEastAsia" w:hAnsiTheme="majorEastAsia" w:eastAsiaTheme="majorEastAsia"/>
          <w:sz w:val="28"/>
          <w:szCs w:val="28"/>
          <w:lang w:val="en-US" w:eastAsia="zh-CN"/>
        </w:rPr>
        <w:t>4、</w:t>
      </w:r>
      <w:r>
        <w:rPr>
          <w:rFonts w:cs="Times New Roman" w:asciiTheme="majorEastAsia" w:hAnsiTheme="majorEastAsia" w:eastAsiaTheme="majorEastAsia"/>
          <w:sz w:val="28"/>
          <w:szCs w:val="28"/>
        </w:rPr>
        <w:t>宣传内容</w:t>
      </w:r>
    </w:p>
    <w:p>
      <w:pPr>
        <w:spacing w:line="578" w:lineRule="exact"/>
        <w:ind w:firstLine="560" w:firstLineChars="200"/>
        <w:rPr>
          <w:rFonts w:cs="Times New Roman" w:asciiTheme="majorEastAsia" w:hAnsiTheme="majorEastAsia" w:eastAsiaTheme="majorEastAsia"/>
          <w:color w:val="000000"/>
          <w:sz w:val="28"/>
          <w:szCs w:val="28"/>
        </w:rPr>
      </w:pPr>
      <w:r>
        <w:rPr>
          <w:rFonts w:cs="Times New Roman" w:asciiTheme="majorEastAsia" w:hAnsiTheme="majorEastAsia" w:eastAsiaTheme="majorEastAsia"/>
          <w:color w:val="000000"/>
          <w:sz w:val="28"/>
          <w:szCs w:val="28"/>
        </w:rPr>
        <w:t>以风趣幽默、易于接受的动画内容为载体，以科普妇幼健康相关知识为主，宣传内容依据我区健康教育知晓率和行为率调查问卷所得结果与我区妇幼健康工作中实际存在问题所决定，具体计划宣传内容及原因如下：</w:t>
      </w:r>
    </w:p>
    <w:p>
      <w:pPr>
        <w:pStyle w:val="14"/>
        <w:keepNext w:val="0"/>
        <w:keepLines w:val="0"/>
        <w:pageBreakBefore w:val="0"/>
        <w:widowControl w:val="0"/>
        <w:numPr>
          <w:numId w:val="0"/>
        </w:numPr>
        <w:kinsoku/>
        <w:wordWrap/>
        <w:overflowPunct/>
        <w:topLinePunct w:val="0"/>
        <w:autoSpaceDE/>
        <w:autoSpaceDN/>
        <w:bidi w:val="0"/>
        <w:adjustRightInd/>
        <w:snapToGrid/>
        <w:spacing w:line="578" w:lineRule="exact"/>
        <w:ind w:leftChars="0" w:firstLine="560" w:firstLineChars="200"/>
        <w:textAlignment w:val="auto"/>
        <w:rPr>
          <w:rFonts w:cs="Times New Roman" w:asciiTheme="majorEastAsia" w:hAnsiTheme="majorEastAsia" w:eastAsiaTheme="majorEastAsia"/>
          <w:color w:val="000000"/>
          <w:sz w:val="28"/>
          <w:szCs w:val="28"/>
        </w:rPr>
      </w:pPr>
      <w:r>
        <w:rPr>
          <w:rFonts w:hint="eastAsia" w:cs="Times New Roman" w:asciiTheme="majorEastAsia" w:hAnsiTheme="majorEastAsia" w:eastAsiaTheme="majorEastAsia"/>
          <w:color w:val="000000"/>
          <w:sz w:val="28"/>
          <w:szCs w:val="28"/>
          <w:lang w:val="en-US" w:eastAsia="zh-CN"/>
        </w:rPr>
        <w:t xml:space="preserve">4.1 </w:t>
      </w:r>
      <w:r>
        <w:rPr>
          <w:rFonts w:cs="Times New Roman" w:asciiTheme="majorEastAsia" w:hAnsiTheme="majorEastAsia" w:eastAsiaTheme="majorEastAsia"/>
          <w:color w:val="000000"/>
          <w:sz w:val="28"/>
          <w:szCs w:val="28"/>
        </w:rPr>
        <w:t>1岁内儿童贫血问题：轻度贫血和几月龄应检测贫血等相关问题，在动画制作时应特别强调。</w:t>
      </w:r>
    </w:p>
    <w:p>
      <w:pPr>
        <w:spacing w:line="578" w:lineRule="exact"/>
        <w:ind w:firstLine="560" w:firstLineChars="200"/>
        <w:rPr>
          <w:rFonts w:hint="eastAsia" w:cs="Times New Roman" w:asciiTheme="majorEastAsia" w:hAnsiTheme="majorEastAsia" w:eastAsiaTheme="majorEastAsia"/>
          <w:color w:val="000000"/>
          <w:sz w:val="28"/>
          <w:szCs w:val="28"/>
        </w:rPr>
      </w:pPr>
      <w:r>
        <w:rPr>
          <w:rFonts w:hint="eastAsia" w:cs="Times New Roman" w:asciiTheme="majorEastAsia" w:hAnsiTheme="majorEastAsia" w:eastAsiaTheme="majorEastAsia"/>
          <w:color w:val="000000"/>
          <w:sz w:val="28"/>
          <w:szCs w:val="28"/>
        </w:rPr>
        <w:t>4.2</w:t>
      </w:r>
      <w:r>
        <w:rPr>
          <w:rFonts w:cs="Times New Roman" w:asciiTheme="majorEastAsia" w:hAnsiTheme="majorEastAsia" w:eastAsiaTheme="majorEastAsia"/>
          <w:color w:val="000000"/>
          <w:sz w:val="28"/>
          <w:szCs w:val="28"/>
        </w:rPr>
        <w:t>舌系带相关问题</w:t>
      </w:r>
    </w:p>
    <w:p>
      <w:pPr>
        <w:spacing w:line="578" w:lineRule="exact"/>
        <w:ind w:firstLine="560" w:firstLineChars="200"/>
        <w:rPr>
          <w:rFonts w:cs="Times New Roman" w:asciiTheme="majorEastAsia" w:hAnsiTheme="majorEastAsia" w:eastAsiaTheme="majorEastAsia"/>
          <w:color w:val="000000"/>
          <w:sz w:val="28"/>
          <w:szCs w:val="28"/>
        </w:rPr>
      </w:pPr>
      <w:r>
        <w:rPr>
          <w:rFonts w:hint="eastAsia" w:cs="Times New Roman" w:asciiTheme="majorEastAsia" w:hAnsiTheme="majorEastAsia" w:eastAsiaTheme="majorEastAsia"/>
          <w:color w:val="000000"/>
          <w:sz w:val="28"/>
          <w:szCs w:val="28"/>
        </w:rPr>
        <w:t>4.3</w:t>
      </w:r>
      <w:r>
        <w:rPr>
          <w:rFonts w:cs="Times New Roman" w:asciiTheme="majorEastAsia" w:hAnsiTheme="majorEastAsia" w:eastAsiaTheme="majorEastAsia"/>
          <w:color w:val="000000"/>
          <w:sz w:val="28"/>
          <w:szCs w:val="28"/>
        </w:rPr>
        <w:t>孕早期规律补钙</w:t>
      </w:r>
    </w:p>
    <w:p>
      <w:pPr>
        <w:spacing w:line="578" w:lineRule="exact"/>
        <w:ind w:left="560"/>
        <w:rPr>
          <w:rFonts w:hint="eastAsia" w:cs="Times New Roman" w:asciiTheme="majorEastAsia" w:hAnsiTheme="majorEastAsia" w:eastAsiaTheme="majorEastAsia"/>
          <w:color w:val="000000"/>
          <w:sz w:val="28"/>
          <w:szCs w:val="28"/>
        </w:rPr>
      </w:pPr>
      <w:r>
        <w:rPr>
          <w:rFonts w:hint="eastAsia" w:cs="Times New Roman" w:asciiTheme="majorEastAsia" w:hAnsiTheme="majorEastAsia" w:eastAsiaTheme="majorEastAsia"/>
          <w:color w:val="000000"/>
          <w:sz w:val="28"/>
          <w:szCs w:val="28"/>
        </w:rPr>
        <w:t>4.4</w:t>
      </w:r>
      <w:r>
        <w:rPr>
          <w:rFonts w:cs="Times New Roman" w:asciiTheme="majorEastAsia" w:hAnsiTheme="majorEastAsia" w:eastAsiaTheme="majorEastAsia"/>
          <w:color w:val="000000"/>
          <w:sz w:val="28"/>
          <w:szCs w:val="28"/>
        </w:rPr>
        <w:t>孕前服用叶酸</w:t>
      </w:r>
    </w:p>
    <w:p>
      <w:pPr>
        <w:spacing w:line="578" w:lineRule="exact"/>
        <w:ind w:left="560"/>
        <w:rPr>
          <w:rFonts w:hint="eastAsia" w:cs="Times New Roman" w:asciiTheme="majorEastAsia" w:hAnsiTheme="majorEastAsia" w:eastAsiaTheme="majorEastAsia"/>
          <w:color w:val="000000"/>
          <w:sz w:val="28"/>
          <w:szCs w:val="28"/>
        </w:rPr>
      </w:pPr>
      <w:r>
        <w:rPr>
          <w:rFonts w:hint="eastAsia" w:cs="Times New Roman" w:asciiTheme="majorEastAsia" w:hAnsiTheme="majorEastAsia" w:eastAsiaTheme="majorEastAsia"/>
          <w:color w:val="000000"/>
          <w:sz w:val="28"/>
          <w:szCs w:val="28"/>
        </w:rPr>
        <w:t>4.5</w:t>
      </w:r>
      <w:r>
        <w:rPr>
          <w:rFonts w:cs="Times New Roman" w:asciiTheme="majorEastAsia" w:hAnsiTheme="majorEastAsia" w:eastAsiaTheme="majorEastAsia"/>
          <w:color w:val="000000"/>
          <w:sz w:val="28"/>
          <w:szCs w:val="28"/>
        </w:rPr>
        <w:t>更年期综合征具体表现及诊治</w:t>
      </w:r>
    </w:p>
    <w:p>
      <w:pPr>
        <w:spacing w:line="578" w:lineRule="exact"/>
        <w:ind w:firstLine="560" w:firstLineChars="200"/>
        <w:rPr>
          <w:rFonts w:cs="Times New Roman" w:asciiTheme="majorEastAsia" w:hAnsiTheme="majorEastAsia" w:eastAsiaTheme="majorEastAsia"/>
          <w:sz w:val="28"/>
          <w:szCs w:val="28"/>
        </w:rPr>
      </w:pPr>
      <w:r>
        <w:rPr>
          <w:rFonts w:hint="eastAsia" w:cs="Times New Roman" w:asciiTheme="majorEastAsia" w:hAnsiTheme="majorEastAsia" w:eastAsiaTheme="majorEastAsia"/>
          <w:sz w:val="28"/>
          <w:szCs w:val="28"/>
        </w:rPr>
        <w:t>5、动画基本要求</w:t>
      </w:r>
    </w:p>
    <w:p>
      <w:pPr>
        <w:spacing w:line="578" w:lineRule="exact"/>
        <w:ind w:firstLine="560" w:firstLineChars="200"/>
        <w:rPr>
          <w:rFonts w:cs="Times New Roman" w:asciiTheme="majorEastAsia" w:hAnsiTheme="majorEastAsia" w:eastAsiaTheme="majorEastAsia"/>
          <w:sz w:val="28"/>
          <w:szCs w:val="28"/>
        </w:rPr>
      </w:pPr>
      <w:r>
        <w:rPr>
          <w:rFonts w:hint="eastAsia" w:cs="Times New Roman" w:asciiTheme="majorEastAsia" w:hAnsiTheme="majorEastAsia" w:eastAsiaTheme="majorEastAsia"/>
          <w:sz w:val="28"/>
          <w:szCs w:val="28"/>
        </w:rPr>
        <w:t>动画总计5期，每期动画约为180秒，5期动画共计15分钟左右。包含动画模型、分集标题、章节标题、角标、字幕条、事件条、人名条、材质渲染等设计制作。</w:t>
      </w:r>
    </w:p>
    <w:p>
      <w:pPr>
        <w:spacing w:line="578" w:lineRule="exact"/>
        <w:ind w:firstLine="560" w:firstLineChars="200"/>
        <w:rPr>
          <w:rFonts w:cs="Times New Roman" w:asciiTheme="majorEastAsia" w:hAnsiTheme="majorEastAsia" w:eastAsiaTheme="majorEastAsia"/>
          <w:sz w:val="28"/>
          <w:szCs w:val="28"/>
        </w:rPr>
      </w:pPr>
      <w:r>
        <w:rPr>
          <w:rFonts w:hint="eastAsia" w:cs="Times New Roman" w:asciiTheme="majorEastAsia" w:hAnsiTheme="majorEastAsia" w:eastAsiaTheme="majorEastAsia"/>
          <w:sz w:val="28"/>
          <w:szCs w:val="28"/>
        </w:rPr>
        <w:t>动画主体内容由龙泉驿区妇幼保健院提供，制作团队可在不偏离主体的基础上进行合理的修改。动画叙事风格精确简练、构思巧妙、节奏感强、富有新意。采用多种形式呈现，视觉效果电影化，画面既有造型感和灵动感。</w:t>
      </w:r>
    </w:p>
    <w:p>
      <w:pPr>
        <w:spacing w:line="578" w:lineRule="exact"/>
        <w:ind w:firstLine="560" w:firstLineChars="200"/>
        <w:rPr>
          <w:rFonts w:cs="Times New Roman" w:asciiTheme="majorEastAsia" w:hAnsiTheme="majorEastAsia" w:eastAsiaTheme="majorEastAsia"/>
          <w:sz w:val="28"/>
          <w:szCs w:val="28"/>
        </w:rPr>
      </w:pPr>
      <w:r>
        <w:rPr>
          <w:rFonts w:hint="eastAsia" w:cs="Times New Roman" w:asciiTheme="majorEastAsia" w:hAnsiTheme="majorEastAsia" w:eastAsiaTheme="majorEastAsia"/>
          <w:sz w:val="28"/>
          <w:szCs w:val="28"/>
        </w:rPr>
        <w:t>6</w:t>
      </w:r>
      <w:r>
        <w:rPr>
          <w:rFonts w:hint="eastAsia" w:cs="Times New Roman" w:asciiTheme="majorEastAsia" w:hAnsiTheme="majorEastAsia" w:eastAsiaTheme="majorEastAsia"/>
          <w:sz w:val="28"/>
          <w:szCs w:val="28"/>
          <w:lang w:eastAsia="zh-CN"/>
        </w:rPr>
        <w:t>、</w:t>
      </w:r>
      <w:r>
        <w:rPr>
          <w:rFonts w:hint="eastAsia" w:cs="Times New Roman" w:asciiTheme="majorEastAsia" w:hAnsiTheme="majorEastAsia" w:eastAsiaTheme="majorEastAsia"/>
          <w:sz w:val="28"/>
          <w:szCs w:val="28"/>
        </w:rPr>
        <w:t>动画技术要求</w:t>
      </w:r>
    </w:p>
    <w:p>
      <w:pPr>
        <w:spacing w:line="578" w:lineRule="exact"/>
        <w:ind w:firstLine="560" w:firstLineChars="200"/>
        <w:rPr>
          <w:rFonts w:cs="Times New Roman" w:asciiTheme="majorEastAsia" w:hAnsiTheme="majorEastAsia" w:eastAsiaTheme="majorEastAsia"/>
          <w:sz w:val="28"/>
          <w:szCs w:val="28"/>
        </w:rPr>
      </w:pPr>
      <w:r>
        <w:rPr>
          <w:rFonts w:hint="eastAsia" w:cs="Times New Roman" w:asciiTheme="majorEastAsia" w:hAnsiTheme="majorEastAsia" w:eastAsiaTheme="majorEastAsia"/>
          <w:sz w:val="28"/>
          <w:szCs w:val="28"/>
        </w:rPr>
        <w:t>6.1 输出格式为高清（1920*1080），25fps的无损mov文件。</w:t>
      </w:r>
    </w:p>
    <w:p>
      <w:pPr>
        <w:spacing w:line="578" w:lineRule="exact"/>
        <w:ind w:firstLine="560" w:firstLineChars="200"/>
        <w:rPr>
          <w:rFonts w:cs="Times New Roman" w:asciiTheme="majorEastAsia" w:hAnsiTheme="majorEastAsia" w:eastAsiaTheme="majorEastAsia"/>
          <w:sz w:val="28"/>
          <w:szCs w:val="28"/>
        </w:rPr>
      </w:pPr>
      <w:r>
        <w:rPr>
          <w:rFonts w:hint="eastAsia" w:cs="Times New Roman" w:asciiTheme="majorEastAsia" w:hAnsiTheme="majorEastAsia" w:eastAsiaTheme="majorEastAsia"/>
          <w:sz w:val="28"/>
          <w:szCs w:val="28"/>
        </w:rPr>
        <w:t>6.2动画中出现的文字要求清晰，不能出现多字、少字、错字、别字、实心字、乱码等情况；制作过程中模板字幕不得删改、添加，不得延长或者缩短字幕与声音的时间，严格按照模板中的字幕和时间制作动画。</w:t>
      </w:r>
    </w:p>
    <w:p>
      <w:pPr>
        <w:spacing w:line="578" w:lineRule="exact"/>
        <w:ind w:firstLine="560" w:firstLineChars="200"/>
        <w:rPr>
          <w:rFonts w:cs="Times New Roman" w:asciiTheme="majorEastAsia" w:hAnsiTheme="majorEastAsia" w:eastAsiaTheme="majorEastAsia"/>
          <w:sz w:val="28"/>
          <w:szCs w:val="28"/>
        </w:rPr>
      </w:pPr>
      <w:r>
        <w:rPr>
          <w:rFonts w:hint="eastAsia" w:cs="Times New Roman" w:asciiTheme="majorEastAsia" w:hAnsiTheme="majorEastAsia" w:eastAsiaTheme="majorEastAsia"/>
          <w:sz w:val="28"/>
          <w:szCs w:val="28"/>
        </w:rPr>
        <w:t>6.3动画中出现的声音应清晰、洪亮，不得延长或缩短字幕与声音的时间，且与动画中出现的人物等口型一致。</w:t>
      </w:r>
    </w:p>
    <w:p>
      <w:pPr>
        <w:spacing w:line="578" w:lineRule="exact"/>
        <w:ind w:firstLine="560" w:firstLineChars="200"/>
        <w:rPr>
          <w:rFonts w:cs="Times New Roman" w:asciiTheme="majorEastAsia" w:hAnsiTheme="majorEastAsia" w:eastAsiaTheme="majorEastAsia"/>
          <w:sz w:val="28"/>
          <w:szCs w:val="28"/>
        </w:rPr>
      </w:pPr>
      <w:r>
        <w:rPr>
          <w:rFonts w:hint="eastAsia" w:cs="Times New Roman" w:asciiTheme="majorEastAsia" w:hAnsiTheme="majorEastAsia" w:eastAsiaTheme="majorEastAsia"/>
          <w:sz w:val="28"/>
          <w:szCs w:val="28"/>
        </w:rPr>
        <w:t>6.4配套服务要求</w:t>
      </w:r>
    </w:p>
    <w:p>
      <w:pPr>
        <w:spacing w:line="578" w:lineRule="exact"/>
        <w:ind w:firstLine="560" w:firstLineChars="200"/>
        <w:rPr>
          <w:rFonts w:cs="Times New Roman" w:asciiTheme="majorEastAsia" w:hAnsiTheme="majorEastAsia" w:eastAsiaTheme="majorEastAsia"/>
          <w:sz w:val="28"/>
          <w:szCs w:val="28"/>
        </w:rPr>
        <w:sectPr>
          <w:footerReference r:id="rId3" w:type="default"/>
          <w:pgSz w:w="11906" w:h="16838"/>
          <w:pgMar w:top="2098" w:right="1474" w:bottom="1474" w:left="1587" w:header="851" w:footer="992" w:gutter="0"/>
          <w:pgNumType w:start="1"/>
          <w:cols w:space="425" w:num="1"/>
          <w:docGrid w:type="lines" w:linePitch="312" w:charSpace="0"/>
        </w:sectPr>
      </w:pPr>
      <w:r>
        <w:rPr>
          <w:rFonts w:hint="eastAsia" w:cs="Times New Roman" w:asciiTheme="majorEastAsia" w:hAnsiTheme="majorEastAsia" w:eastAsiaTheme="majorEastAsia"/>
          <w:sz w:val="28"/>
          <w:szCs w:val="28"/>
        </w:rPr>
        <w:t>在制作周期内，需在接受到修改要求后，对动画进行完善修</w:t>
      </w:r>
    </w:p>
    <w:p>
      <w:pPr>
        <w:keepNext w:val="0"/>
        <w:keepLines w:val="0"/>
        <w:pageBreakBefore w:val="0"/>
        <w:widowControl w:val="0"/>
        <w:kinsoku/>
        <w:wordWrap/>
        <w:overflowPunct/>
        <w:topLinePunct w:val="0"/>
        <w:autoSpaceDE/>
        <w:autoSpaceDN/>
        <w:bidi w:val="0"/>
        <w:adjustRightInd/>
        <w:snapToGrid/>
        <w:spacing w:line="578" w:lineRule="exact"/>
        <w:textAlignment w:val="auto"/>
        <w:rPr>
          <w:rFonts w:cs="Times New Roman" w:asciiTheme="majorEastAsia" w:hAnsiTheme="majorEastAsia" w:eastAsiaTheme="majorEastAsia"/>
          <w:sz w:val="28"/>
          <w:szCs w:val="28"/>
        </w:rPr>
      </w:pPr>
      <w:bookmarkStart w:id="2" w:name="_GoBack"/>
      <w:bookmarkEnd w:id="2"/>
      <w:r>
        <w:rPr>
          <w:rFonts w:hint="eastAsia" w:cs="Times New Roman" w:asciiTheme="majorEastAsia" w:hAnsiTheme="majorEastAsia" w:eastAsiaTheme="majorEastAsia"/>
          <w:sz w:val="28"/>
          <w:szCs w:val="28"/>
        </w:rPr>
        <w:t>改，直至达到满意的效果、通过验收。</w:t>
      </w:r>
    </w:p>
    <w:p>
      <w:pPr>
        <w:keepNext w:val="0"/>
        <w:keepLines w:val="0"/>
        <w:pageBreakBefore w:val="0"/>
        <w:widowControl w:val="0"/>
        <w:kinsoku/>
        <w:wordWrap/>
        <w:overflowPunct/>
        <w:topLinePunct w:val="0"/>
        <w:autoSpaceDE/>
        <w:autoSpaceDN/>
        <w:bidi w:val="0"/>
        <w:adjustRightInd/>
        <w:snapToGrid/>
        <w:spacing w:line="578" w:lineRule="exact"/>
        <w:ind w:left="0" w:firstLine="560" w:firstLineChars="200"/>
        <w:textAlignment w:val="auto"/>
        <w:rPr>
          <w:rFonts w:asciiTheme="majorEastAsia" w:hAnsiTheme="majorEastAsia" w:eastAsiaTheme="majorEastAsia"/>
          <w:sz w:val="28"/>
          <w:szCs w:val="28"/>
        </w:rPr>
      </w:pPr>
      <w:r>
        <w:rPr>
          <w:rFonts w:hint="eastAsia" w:asciiTheme="majorEastAsia" w:hAnsiTheme="majorEastAsia" w:eastAsiaTheme="majorEastAsia"/>
          <w:sz w:val="28"/>
          <w:szCs w:val="28"/>
          <w:lang w:val="en-US" w:eastAsia="zh-CN"/>
        </w:rPr>
        <w:t>7、</w:t>
      </w:r>
      <w:r>
        <w:rPr>
          <w:rFonts w:hint="eastAsia" w:asciiTheme="majorEastAsia" w:hAnsiTheme="majorEastAsia" w:eastAsiaTheme="majorEastAsia"/>
          <w:sz w:val="28"/>
          <w:szCs w:val="28"/>
        </w:rPr>
        <w:t>本次比选，要求制成1分钟的动画短片，呈现主题思想和大纲供业主方比选综合评定。</w:t>
      </w:r>
    </w:p>
    <w:p>
      <w:pPr>
        <w:keepNext w:val="0"/>
        <w:keepLines w:val="0"/>
        <w:pageBreakBefore w:val="0"/>
        <w:widowControl w:val="0"/>
        <w:kinsoku/>
        <w:wordWrap/>
        <w:overflowPunct/>
        <w:topLinePunct w:val="0"/>
        <w:autoSpaceDE/>
        <w:autoSpaceDN/>
        <w:bidi w:val="0"/>
        <w:adjustRightInd/>
        <w:snapToGrid/>
        <w:spacing w:line="578" w:lineRule="exact"/>
        <w:ind w:left="0" w:firstLine="560" w:firstLineChars="200"/>
        <w:textAlignment w:val="auto"/>
        <w:rPr>
          <w:rFonts w:hint="default" w:asciiTheme="majorEastAsia" w:hAnsiTheme="majorEastAsia" w:eastAsiaTheme="majorEastAsia"/>
          <w:color w:val="000000" w:themeColor="text1"/>
          <w:sz w:val="28"/>
          <w:szCs w:val="28"/>
          <w:lang w:val="en-US" w:eastAsia="zh-CN"/>
          <w14:textFill>
            <w14:solidFill>
              <w14:schemeClr w14:val="tx1"/>
            </w14:solidFill>
          </w14:textFill>
        </w:rPr>
      </w:pPr>
      <w:r>
        <w:rPr>
          <w:rFonts w:hint="eastAsia" w:asciiTheme="majorEastAsia" w:hAnsiTheme="majorEastAsia" w:eastAsiaTheme="majorEastAsia"/>
          <w:color w:val="000000" w:themeColor="text1"/>
          <w:sz w:val="28"/>
          <w:szCs w:val="28"/>
          <w:lang w:val="en-US" w:eastAsia="zh-CN"/>
          <w14:textFill>
            <w14:solidFill>
              <w14:schemeClr w14:val="tx1"/>
            </w14:solidFill>
          </w14:textFill>
        </w:rPr>
        <w:t>8、</w:t>
      </w:r>
      <w:r>
        <w:rPr>
          <w:rFonts w:asciiTheme="majorEastAsia" w:hAnsiTheme="majorEastAsia" w:eastAsiaTheme="majorEastAsia"/>
          <w:color w:val="000000" w:themeColor="text1"/>
          <w:sz w:val="28"/>
          <w:szCs w:val="28"/>
          <w14:textFill>
            <w14:solidFill>
              <w14:schemeClr w14:val="tx1"/>
            </w14:solidFill>
          </w14:textFill>
        </w:rPr>
        <w:t>中标人</w:t>
      </w:r>
      <w:r>
        <w:rPr>
          <w:rFonts w:hint="eastAsia" w:asciiTheme="majorEastAsia" w:hAnsiTheme="majorEastAsia" w:eastAsiaTheme="majorEastAsia"/>
          <w:color w:val="000000" w:themeColor="text1"/>
          <w:sz w:val="28"/>
          <w:szCs w:val="28"/>
          <w:lang w:eastAsia="zh-CN"/>
          <w14:textFill>
            <w14:solidFill>
              <w14:schemeClr w14:val="tx1"/>
            </w14:solidFill>
          </w14:textFill>
        </w:rPr>
        <w:t>收到业主所有制作动画内容后，每间隔</w:t>
      </w:r>
      <w:r>
        <w:rPr>
          <w:rFonts w:hint="eastAsia" w:asciiTheme="majorEastAsia" w:hAnsiTheme="majorEastAsia" w:eastAsiaTheme="majorEastAsia"/>
          <w:color w:val="000000" w:themeColor="text1"/>
          <w:sz w:val="28"/>
          <w:szCs w:val="28"/>
          <w:lang w:val="en-US" w:eastAsia="zh-CN"/>
          <w14:textFill>
            <w14:solidFill>
              <w14:schemeClr w14:val="tx1"/>
            </w14:solidFill>
          </w14:textFill>
        </w:rPr>
        <w:t>20日提交一期成片，如有修改，每次须在收到修改意见后3天内修改完成并返回；宣传动画共5期，预计投放到2021年6月结束。</w:t>
      </w:r>
    </w:p>
    <w:p>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rFonts w:hint="eastAsia" w:eastAsiaTheme="minorEastAsia"/>
          <w:sz w:val="28"/>
          <w:szCs w:val="28"/>
          <w:lang w:eastAsia="zh-CN"/>
        </w:rPr>
      </w:pPr>
      <w:r>
        <w:rPr>
          <w:rFonts w:hint="eastAsia"/>
          <w:sz w:val="28"/>
          <w:szCs w:val="28"/>
          <w:lang w:val="en-US" w:eastAsia="zh-CN"/>
        </w:rPr>
        <w:t>9</w:t>
      </w:r>
      <w:r>
        <w:rPr>
          <w:rFonts w:hint="eastAsia"/>
          <w:sz w:val="28"/>
          <w:szCs w:val="28"/>
        </w:rPr>
        <w:t>、付款方式：</w:t>
      </w:r>
      <w:r>
        <w:rPr>
          <w:rFonts w:hint="eastAsia"/>
          <w:sz w:val="28"/>
          <w:szCs w:val="28"/>
          <w:lang w:eastAsia="zh-CN"/>
        </w:rPr>
        <w:t>签订合同后全付。</w:t>
      </w:r>
    </w:p>
    <w:p>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sz w:val="28"/>
          <w:szCs w:val="28"/>
        </w:rPr>
      </w:pPr>
      <w:r>
        <w:rPr>
          <w:rFonts w:hint="eastAsia"/>
          <w:sz w:val="28"/>
          <w:szCs w:val="28"/>
          <w:lang w:val="en-US" w:eastAsia="zh-CN"/>
        </w:rPr>
        <w:t>10</w:t>
      </w:r>
      <w:r>
        <w:rPr>
          <w:rFonts w:hint="eastAsia"/>
          <w:sz w:val="28"/>
          <w:szCs w:val="28"/>
        </w:rPr>
        <w:t>、本项目不接受联合体投标，不允许转包和分包。</w:t>
      </w:r>
    </w:p>
    <w:p>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sz w:val="28"/>
          <w:szCs w:val="28"/>
        </w:rPr>
      </w:pPr>
      <w:r>
        <w:rPr>
          <w:rFonts w:hint="eastAsia"/>
          <w:sz w:val="28"/>
          <w:szCs w:val="28"/>
        </w:rPr>
        <w:t>五、资格要求</w:t>
      </w:r>
    </w:p>
    <w:p>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供应商需具有有效的广播电视节目制作经营许可证复印件并盖鲜章</w:t>
      </w:r>
    </w:p>
    <w:p>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sz w:val="28"/>
          <w:szCs w:val="28"/>
        </w:rPr>
      </w:pPr>
      <w:r>
        <w:rPr>
          <w:rFonts w:hint="eastAsia"/>
          <w:sz w:val="28"/>
          <w:szCs w:val="28"/>
        </w:rPr>
        <w:t>六</w:t>
      </w:r>
      <w:r>
        <w:rPr>
          <w:rFonts w:hint="eastAsia"/>
          <w:sz w:val="28"/>
          <w:szCs w:val="28"/>
          <w:lang w:eastAsia="zh-CN"/>
        </w:rPr>
        <w:t>、</w:t>
      </w:r>
      <w:r>
        <w:rPr>
          <w:rFonts w:hint="eastAsia"/>
          <w:sz w:val="28"/>
          <w:szCs w:val="28"/>
        </w:rPr>
        <w:t>比选方式：采取综合评分的方式。</w:t>
      </w:r>
    </w:p>
    <w:p>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sz w:val="28"/>
          <w:szCs w:val="28"/>
        </w:rPr>
      </w:pPr>
      <w:r>
        <w:rPr>
          <w:rFonts w:hint="eastAsia"/>
          <w:sz w:val="28"/>
          <w:szCs w:val="28"/>
        </w:rPr>
        <w:t>七、其他</w:t>
      </w:r>
    </w:p>
    <w:p>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sz w:val="28"/>
          <w:szCs w:val="28"/>
        </w:rPr>
      </w:pPr>
      <w:r>
        <w:rPr>
          <w:rFonts w:hint="eastAsia"/>
          <w:sz w:val="28"/>
          <w:szCs w:val="28"/>
        </w:rPr>
        <w:t>1、业主方联系人（可以通过以下电话进行比选报名）</w:t>
      </w:r>
    </w:p>
    <w:p>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rFonts w:hint="eastAsia"/>
          <w:sz w:val="28"/>
          <w:szCs w:val="28"/>
        </w:rPr>
      </w:pPr>
      <w:r>
        <w:rPr>
          <w:rFonts w:hint="eastAsia"/>
          <w:sz w:val="28"/>
          <w:szCs w:val="28"/>
        </w:rPr>
        <w:t>徐老师   69330709</w:t>
      </w:r>
    </w:p>
    <w:p>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sz w:val="28"/>
          <w:szCs w:val="28"/>
        </w:rPr>
      </w:pPr>
      <w:r>
        <w:rPr>
          <w:rFonts w:hint="eastAsia"/>
          <w:sz w:val="28"/>
          <w:szCs w:val="28"/>
        </w:rPr>
        <w:t>黄老师   69330809</w:t>
      </w:r>
    </w:p>
    <w:p>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sz w:val="28"/>
          <w:szCs w:val="28"/>
        </w:rPr>
      </w:pPr>
      <w:r>
        <w:rPr>
          <w:rFonts w:hint="eastAsia"/>
          <w:sz w:val="28"/>
          <w:szCs w:val="28"/>
        </w:rPr>
        <w:t>曹老师   69330808</w:t>
      </w:r>
    </w:p>
    <w:p>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sz w:val="28"/>
          <w:szCs w:val="28"/>
        </w:rPr>
      </w:pPr>
      <w:r>
        <w:rPr>
          <w:rFonts w:hint="eastAsia"/>
          <w:sz w:val="28"/>
          <w:szCs w:val="28"/>
        </w:rPr>
        <w:t>2、报名及比选</w:t>
      </w:r>
      <w:r>
        <w:rPr>
          <w:rFonts w:hint="eastAsia"/>
          <w:sz w:val="28"/>
          <w:szCs w:val="28"/>
          <w:lang w:eastAsia="zh-CN"/>
        </w:rPr>
        <w:t>文件</w:t>
      </w:r>
      <w:r>
        <w:rPr>
          <w:rFonts w:hint="eastAsia"/>
          <w:sz w:val="28"/>
          <w:szCs w:val="28"/>
        </w:rPr>
        <w:t>递交要求：</w:t>
      </w:r>
    </w:p>
    <w:p>
      <w:pPr>
        <w:keepNext w:val="0"/>
        <w:keepLines w:val="0"/>
        <w:pageBreakBefore w:val="0"/>
        <w:widowControl w:val="0"/>
        <w:kinsoku/>
        <w:wordWrap/>
        <w:overflowPunct/>
        <w:topLinePunct w:val="0"/>
        <w:autoSpaceDE/>
        <w:autoSpaceDN/>
        <w:bidi w:val="0"/>
        <w:adjustRightInd/>
        <w:snapToGrid/>
        <w:spacing w:line="578" w:lineRule="exact"/>
        <w:ind w:firstLine="588"/>
        <w:textAlignment w:val="auto"/>
        <w:rPr>
          <w:sz w:val="28"/>
          <w:szCs w:val="28"/>
        </w:rPr>
      </w:pPr>
      <w:r>
        <w:rPr>
          <w:rFonts w:hint="eastAsia"/>
          <w:sz w:val="28"/>
          <w:szCs w:val="28"/>
        </w:rPr>
        <w:t>①公司盖章，密封</w:t>
      </w:r>
    </w:p>
    <w:p>
      <w:pPr>
        <w:keepNext w:val="0"/>
        <w:keepLines w:val="0"/>
        <w:pageBreakBefore w:val="0"/>
        <w:widowControl w:val="0"/>
        <w:kinsoku/>
        <w:wordWrap/>
        <w:overflowPunct/>
        <w:topLinePunct w:val="0"/>
        <w:autoSpaceDE/>
        <w:autoSpaceDN/>
        <w:bidi w:val="0"/>
        <w:adjustRightInd/>
        <w:snapToGrid/>
        <w:spacing w:line="578" w:lineRule="exact"/>
        <w:ind w:firstLine="588"/>
        <w:textAlignment w:val="auto"/>
        <w:rPr>
          <w:sz w:val="28"/>
          <w:szCs w:val="28"/>
        </w:rPr>
      </w:pPr>
      <w:r>
        <w:rPr>
          <w:rFonts w:hint="eastAsia"/>
          <w:sz w:val="28"/>
          <w:szCs w:val="28"/>
        </w:rPr>
        <w:t>②</w:t>
      </w:r>
      <w:r>
        <w:rPr>
          <w:rFonts w:hint="eastAsia"/>
          <w:sz w:val="28"/>
          <w:szCs w:val="28"/>
          <w:lang w:eastAsia="zh-CN"/>
        </w:rPr>
        <w:t>比选文件</w:t>
      </w:r>
      <w:r>
        <w:rPr>
          <w:rFonts w:hint="eastAsia"/>
          <w:sz w:val="28"/>
          <w:szCs w:val="28"/>
        </w:rPr>
        <w:t>必须编制目录、页码并成册</w:t>
      </w:r>
    </w:p>
    <w:p>
      <w:pPr>
        <w:keepNext w:val="0"/>
        <w:keepLines w:val="0"/>
        <w:pageBreakBefore w:val="0"/>
        <w:widowControl w:val="0"/>
        <w:kinsoku/>
        <w:wordWrap/>
        <w:overflowPunct/>
        <w:topLinePunct w:val="0"/>
        <w:autoSpaceDE/>
        <w:autoSpaceDN/>
        <w:bidi w:val="0"/>
        <w:adjustRightInd/>
        <w:snapToGrid/>
        <w:spacing w:line="578" w:lineRule="exact"/>
        <w:ind w:firstLine="588"/>
        <w:textAlignment w:val="auto"/>
        <w:rPr>
          <w:sz w:val="28"/>
          <w:szCs w:val="28"/>
        </w:rPr>
      </w:pPr>
      <w:r>
        <w:rPr>
          <w:rFonts w:hint="eastAsia"/>
          <w:sz w:val="28"/>
          <w:szCs w:val="28"/>
        </w:rPr>
        <w:t>报名及比选</w:t>
      </w:r>
      <w:r>
        <w:rPr>
          <w:rFonts w:hint="eastAsia"/>
          <w:sz w:val="28"/>
          <w:szCs w:val="28"/>
          <w:lang w:eastAsia="zh-CN"/>
        </w:rPr>
        <w:t>文件</w:t>
      </w:r>
      <w:r>
        <w:rPr>
          <w:rFonts w:hint="eastAsia"/>
          <w:sz w:val="28"/>
          <w:szCs w:val="28"/>
        </w:rPr>
        <w:t>递交截止时间：2020年11月23日10时</w:t>
      </w:r>
    </w:p>
    <w:p>
      <w:pPr>
        <w:keepNext w:val="0"/>
        <w:keepLines w:val="0"/>
        <w:pageBreakBefore w:val="0"/>
        <w:widowControl w:val="0"/>
        <w:kinsoku/>
        <w:wordWrap/>
        <w:overflowPunct/>
        <w:topLinePunct w:val="0"/>
        <w:autoSpaceDE/>
        <w:autoSpaceDN/>
        <w:bidi w:val="0"/>
        <w:adjustRightInd/>
        <w:snapToGrid/>
        <w:spacing w:line="578" w:lineRule="exact"/>
        <w:ind w:firstLine="588"/>
        <w:textAlignment w:val="auto"/>
        <w:rPr>
          <w:sz w:val="28"/>
          <w:szCs w:val="28"/>
        </w:rPr>
      </w:pPr>
      <w:r>
        <w:rPr>
          <w:rFonts w:hint="eastAsia"/>
          <w:sz w:val="28"/>
          <w:szCs w:val="28"/>
        </w:rPr>
        <w:t>递交地址：成都市龙泉驿区妇幼保健院后勤科  C304</w:t>
      </w:r>
    </w:p>
    <w:p>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sz w:val="28"/>
          <w:szCs w:val="28"/>
        </w:rPr>
      </w:pPr>
      <w:r>
        <w:rPr>
          <w:rFonts w:hint="eastAsia"/>
          <w:sz w:val="28"/>
          <w:szCs w:val="28"/>
        </w:rPr>
        <w:t>七、比选时间：2020年11月23日15时</w:t>
      </w:r>
    </w:p>
    <w:p>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sz w:val="28"/>
          <w:szCs w:val="28"/>
        </w:rPr>
      </w:pPr>
      <w:r>
        <w:rPr>
          <w:rFonts w:hint="eastAsia"/>
          <w:sz w:val="28"/>
          <w:szCs w:val="28"/>
        </w:rPr>
        <w:t>（若有变更，采购人根据递送比选</w:t>
      </w:r>
      <w:r>
        <w:rPr>
          <w:rFonts w:hint="eastAsia"/>
          <w:sz w:val="28"/>
          <w:szCs w:val="28"/>
          <w:lang w:eastAsia="zh-CN"/>
        </w:rPr>
        <w:t>文件</w:t>
      </w:r>
      <w:r>
        <w:rPr>
          <w:rFonts w:hint="eastAsia"/>
          <w:sz w:val="28"/>
          <w:szCs w:val="28"/>
        </w:rPr>
        <w:t>时留存的公司电话联系投标人）</w:t>
      </w:r>
    </w:p>
    <w:p>
      <w:pPr>
        <w:keepNext w:val="0"/>
        <w:keepLines w:val="0"/>
        <w:pageBreakBefore w:val="0"/>
        <w:widowControl w:val="0"/>
        <w:kinsoku/>
        <w:wordWrap/>
        <w:overflowPunct/>
        <w:topLinePunct w:val="0"/>
        <w:autoSpaceDE/>
        <w:autoSpaceDN/>
        <w:bidi w:val="0"/>
        <w:adjustRightInd/>
        <w:snapToGrid/>
        <w:spacing w:line="578" w:lineRule="exact"/>
        <w:ind w:firstLine="600"/>
        <w:textAlignment w:val="auto"/>
        <w:rPr>
          <w:sz w:val="28"/>
          <w:szCs w:val="28"/>
        </w:rPr>
      </w:pPr>
      <w:r>
        <w:rPr>
          <w:rFonts w:hint="eastAsia"/>
          <w:sz w:val="28"/>
          <w:szCs w:val="28"/>
        </w:rPr>
        <w:t>比选地点：成都市龙泉驿区妇幼保健院会议室</w:t>
      </w:r>
    </w:p>
    <w:p>
      <w:pPr>
        <w:spacing w:line="360" w:lineRule="auto"/>
        <w:rPr>
          <w:sz w:val="28"/>
          <w:szCs w:val="28"/>
        </w:rPr>
      </w:pPr>
    </w:p>
    <w:p>
      <w:pPr>
        <w:spacing w:line="360" w:lineRule="auto"/>
        <w:rPr>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sz w:val="28"/>
          <w:szCs w:val="28"/>
        </w:rPr>
      </w:pPr>
      <w:r>
        <w:rPr>
          <w:rFonts w:hint="eastAsia"/>
          <w:sz w:val="28"/>
          <w:szCs w:val="28"/>
        </w:rPr>
        <w:t>附件1：评分标准细则</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sz w:val="28"/>
          <w:szCs w:val="28"/>
        </w:rPr>
      </w:pPr>
      <w:r>
        <w:rPr>
          <w:rFonts w:hint="eastAsia"/>
          <w:sz w:val="28"/>
          <w:szCs w:val="28"/>
        </w:rPr>
        <w:t>附件2：比选文件格式</w:t>
      </w:r>
    </w:p>
    <w:p>
      <w:pPr>
        <w:spacing w:line="360" w:lineRule="auto"/>
        <w:ind w:firstLine="4480" w:firstLineChars="1600"/>
        <w:rPr>
          <w:sz w:val="28"/>
          <w:szCs w:val="28"/>
        </w:rPr>
      </w:pPr>
    </w:p>
    <w:p>
      <w:pPr>
        <w:spacing w:line="360" w:lineRule="auto"/>
        <w:ind w:firstLine="4480" w:firstLineChars="1600"/>
        <w:rPr>
          <w:sz w:val="28"/>
          <w:szCs w:val="28"/>
        </w:rPr>
      </w:pPr>
    </w:p>
    <w:p>
      <w:pPr>
        <w:spacing w:line="360" w:lineRule="auto"/>
        <w:ind w:firstLine="4480" w:firstLineChars="1600"/>
        <w:rPr>
          <w:sz w:val="28"/>
          <w:szCs w:val="28"/>
        </w:rPr>
      </w:pPr>
    </w:p>
    <w:p>
      <w:pPr>
        <w:spacing w:line="360" w:lineRule="auto"/>
        <w:ind w:firstLine="4480" w:firstLineChars="1600"/>
        <w:rPr>
          <w:sz w:val="28"/>
          <w:szCs w:val="28"/>
        </w:rPr>
      </w:pPr>
      <w:r>
        <w:rPr>
          <w:rFonts w:hint="eastAsia"/>
          <w:sz w:val="28"/>
          <w:szCs w:val="28"/>
        </w:rPr>
        <w:t>成都市龙泉驿区妇幼保健院</w:t>
      </w:r>
    </w:p>
    <w:p>
      <w:pPr>
        <w:spacing w:line="360" w:lineRule="auto"/>
        <w:jc w:val="center"/>
        <w:rPr>
          <w:sz w:val="28"/>
          <w:szCs w:val="28"/>
        </w:rPr>
      </w:pPr>
      <w:r>
        <w:rPr>
          <w:rFonts w:hint="eastAsia"/>
          <w:sz w:val="28"/>
          <w:szCs w:val="28"/>
        </w:rPr>
        <w:t xml:space="preserve">                            2020年11月13日</w:t>
      </w:r>
    </w:p>
    <w:p>
      <w:pPr>
        <w:jc w:val="left"/>
        <w:rPr>
          <w:rFonts w:ascii="华文中宋" w:hAnsi="华文中宋" w:eastAsia="华文中宋"/>
          <w:b/>
          <w:sz w:val="32"/>
        </w:rPr>
      </w:pPr>
    </w:p>
    <w:p>
      <w:pPr>
        <w:jc w:val="left"/>
        <w:rPr>
          <w:rFonts w:ascii="华文中宋" w:hAnsi="华文中宋" w:eastAsia="华文中宋"/>
          <w:b/>
          <w:sz w:val="32"/>
        </w:rPr>
      </w:pPr>
    </w:p>
    <w:p>
      <w:pPr>
        <w:jc w:val="left"/>
        <w:rPr>
          <w:rFonts w:ascii="华文中宋" w:hAnsi="华文中宋" w:eastAsia="华文中宋"/>
          <w:b/>
          <w:sz w:val="32"/>
        </w:rPr>
      </w:pPr>
    </w:p>
    <w:p>
      <w:pPr>
        <w:jc w:val="left"/>
        <w:rPr>
          <w:rFonts w:ascii="华文中宋" w:hAnsi="华文中宋" w:eastAsia="华文中宋"/>
          <w:b/>
          <w:sz w:val="32"/>
        </w:rPr>
      </w:pPr>
    </w:p>
    <w:p>
      <w:pPr>
        <w:rPr>
          <w:rFonts w:ascii="华文中宋" w:hAnsi="华文中宋" w:eastAsia="华文中宋"/>
          <w:b/>
          <w:sz w:val="32"/>
        </w:rPr>
      </w:pPr>
      <w:r>
        <w:rPr>
          <w:rFonts w:ascii="华文中宋" w:hAnsi="华文中宋" w:eastAsia="华文中宋"/>
          <w:b/>
          <w:sz w:val="32"/>
        </w:rPr>
        <w:br w:type="page"/>
      </w:r>
    </w:p>
    <w:p>
      <w:pPr>
        <w:jc w:val="left"/>
        <w:rPr>
          <w:rFonts w:ascii="华文中宋" w:hAnsi="华文中宋" w:eastAsia="华文中宋"/>
          <w:b/>
          <w:sz w:val="32"/>
        </w:rPr>
      </w:pPr>
    </w:p>
    <w:p>
      <w:pPr>
        <w:jc w:val="left"/>
        <w:rPr>
          <w:rFonts w:ascii="华文中宋" w:hAnsi="华文中宋" w:eastAsia="华文中宋"/>
          <w:b/>
          <w:sz w:val="32"/>
        </w:rPr>
      </w:pPr>
      <w:r>
        <w:rPr>
          <w:rFonts w:hint="eastAsia" w:ascii="华文中宋" w:hAnsi="华文中宋" w:eastAsia="华文中宋"/>
          <w:b/>
          <w:sz w:val="32"/>
        </w:rPr>
        <w:t>附件1：评分标准细则</w:t>
      </w:r>
    </w:p>
    <w:p>
      <w:pPr>
        <w:adjustRightInd w:val="0"/>
        <w:snapToGrid w:val="0"/>
        <w:ind w:firstLine="641" w:firstLineChars="200"/>
        <w:rPr>
          <w:rFonts w:ascii="宋体" w:hAnsi="宋体" w:eastAsia="宋体"/>
          <w:color w:val="000000"/>
          <w:szCs w:val="21"/>
        </w:rPr>
      </w:pPr>
      <w:r>
        <w:rPr>
          <w:rFonts w:hint="eastAsia" w:ascii="华文中宋" w:hAnsi="华文中宋" w:eastAsia="华文中宋"/>
          <w:b/>
          <w:sz w:val="32"/>
        </w:rPr>
        <w:t xml:space="preserve"> </w:t>
      </w:r>
    </w:p>
    <w:p>
      <w:pPr>
        <w:adjustRightInd w:val="0"/>
        <w:snapToGrid w:val="0"/>
        <w:jc w:val="center"/>
        <w:rPr>
          <w:rFonts w:ascii="宋体" w:hAnsi="宋体" w:eastAsia="宋体"/>
          <w:color w:val="000000"/>
          <w:sz w:val="28"/>
          <w:szCs w:val="28"/>
        </w:rPr>
      </w:pPr>
      <w:r>
        <w:rPr>
          <w:rFonts w:hint="eastAsia" w:ascii="宋体" w:hAnsi="宋体" w:eastAsia="宋体"/>
          <w:b/>
          <w:sz w:val="28"/>
          <w:szCs w:val="28"/>
        </w:rPr>
        <w:t>评分标准细则</w:t>
      </w:r>
    </w:p>
    <w:tbl>
      <w:tblPr>
        <w:tblStyle w:val="8"/>
        <w:tblpPr w:leftFromText="180" w:rightFromText="180" w:vertAnchor="text" w:horzAnchor="margin" w:tblpX="-248" w:tblpY="31"/>
        <w:tblW w:w="92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65"/>
        <w:gridCol w:w="1406"/>
        <w:gridCol w:w="5776"/>
        <w:gridCol w:w="15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45" w:hRule="atLeast"/>
        </w:trPr>
        <w:tc>
          <w:tcPr>
            <w:tcW w:w="565" w:type="dxa"/>
            <w:vAlign w:val="center"/>
          </w:tcPr>
          <w:p>
            <w:pPr>
              <w:widowControl/>
              <w:adjustRightInd w:val="0"/>
              <w:snapToGrid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序号</w:t>
            </w:r>
          </w:p>
        </w:tc>
        <w:tc>
          <w:tcPr>
            <w:tcW w:w="1406" w:type="dxa"/>
            <w:vAlign w:val="center"/>
          </w:tcPr>
          <w:p>
            <w:pPr>
              <w:widowControl/>
              <w:adjustRightInd w:val="0"/>
              <w:snapToGrid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评比项目</w:t>
            </w:r>
          </w:p>
        </w:tc>
        <w:tc>
          <w:tcPr>
            <w:tcW w:w="5776" w:type="dxa"/>
            <w:vAlign w:val="center"/>
          </w:tcPr>
          <w:p>
            <w:pPr>
              <w:widowControl/>
              <w:adjustRightInd w:val="0"/>
              <w:snapToGrid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评比内容</w:t>
            </w:r>
          </w:p>
        </w:tc>
        <w:tc>
          <w:tcPr>
            <w:tcW w:w="1526" w:type="dxa"/>
            <w:shd w:val="clear" w:color="auto" w:fill="auto"/>
            <w:vAlign w:val="center"/>
          </w:tcPr>
          <w:p>
            <w:pPr>
              <w:widowControl/>
              <w:adjustRightInd w:val="0"/>
              <w:snapToGrid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140" w:hRule="atLeast"/>
        </w:trPr>
        <w:tc>
          <w:tcPr>
            <w:tcW w:w="565" w:type="dxa"/>
            <w:vAlign w:val="center"/>
          </w:tcPr>
          <w:p>
            <w:pPr>
              <w:widowControl/>
              <w:adjustRightInd w:val="0"/>
              <w:snapToGrid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1</w:t>
            </w:r>
          </w:p>
        </w:tc>
        <w:tc>
          <w:tcPr>
            <w:tcW w:w="1406" w:type="dxa"/>
            <w:vAlign w:val="center"/>
          </w:tcPr>
          <w:p>
            <w:pPr>
              <w:widowControl/>
              <w:adjustRightInd w:val="0"/>
              <w:snapToGrid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项目报价</w:t>
            </w:r>
          </w:p>
          <w:p>
            <w:pPr>
              <w:widowControl/>
              <w:adjustRightInd w:val="0"/>
              <w:snapToGrid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（15分）</w:t>
            </w:r>
          </w:p>
        </w:tc>
        <w:tc>
          <w:tcPr>
            <w:tcW w:w="5776" w:type="dxa"/>
            <w:vAlign w:val="center"/>
          </w:tcPr>
          <w:p>
            <w:pPr>
              <w:widowControl/>
              <w:adjustRightInd w:val="0"/>
              <w:snapToGrid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满足比选文件要求且投标价格最低的投标报价为评标基准价，其价格分为满分。其他投标人的价格分统一按照下列公式计算：投标报价得分=(评标基准价／投标报价)×15。</w:t>
            </w:r>
          </w:p>
        </w:tc>
        <w:tc>
          <w:tcPr>
            <w:tcW w:w="1526" w:type="dxa"/>
            <w:shd w:val="clear" w:color="auto" w:fill="auto"/>
            <w:vAlign w:val="center"/>
          </w:tcPr>
          <w:p>
            <w:pPr>
              <w:widowControl/>
              <w:adjustRightInd w:val="0"/>
              <w:snapToGrid w:val="0"/>
              <w:jc w:val="center"/>
              <w:rPr>
                <w:rFonts w:ascii="宋体" w:hAnsi="宋体" w:eastAsia="宋体" w:cs="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55" w:hRule="atLeast"/>
        </w:trPr>
        <w:tc>
          <w:tcPr>
            <w:tcW w:w="565" w:type="dxa"/>
            <w:vAlign w:val="center"/>
          </w:tcPr>
          <w:p>
            <w:pPr>
              <w:widowControl/>
              <w:adjustRightInd w:val="0"/>
              <w:snapToGrid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2</w:t>
            </w:r>
          </w:p>
        </w:tc>
        <w:tc>
          <w:tcPr>
            <w:tcW w:w="1406" w:type="dxa"/>
            <w:vAlign w:val="center"/>
          </w:tcPr>
          <w:p>
            <w:pPr>
              <w:widowControl/>
              <w:adjustRightInd w:val="0"/>
              <w:snapToGrid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项目需求理解</w:t>
            </w:r>
          </w:p>
          <w:p>
            <w:pPr>
              <w:widowControl/>
              <w:adjustRightInd w:val="0"/>
              <w:snapToGrid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（13分）</w:t>
            </w:r>
          </w:p>
        </w:tc>
        <w:tc>
          <w:tcPr>
            <w:tcW w:w="5776" w:type="dxa"/>
            <w:vAlign w:val="center"/>
          </w:tcPr>
          <w:p>
            <w:pPr>
              <w:widowControl/>
              <w:adjustRightInd w:val="0"/>
              <w:snapToGrid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根据供应商对</w:t>
            </w:r>
            <w:r>
              <w:rPr>
                <w:rFonts w:ascii="宋体" w:hAnsi="宋体" w:eastAsia="宋体" w:cs="宋体"/>
                <w:color w:val="000000" w:themeColor="text1"/>
                <w:kern w:val="0"/>
                <w:szCs w:val="21"/>
                <w14:textFill>
                  <w14:solidFill>
                    <w14:schemeClr w14:val="tx1"/>
                  </w14:solidFill>
                </w14:textFill>
              </w:rPr>
              <w:t>项目</w:t>
            </w:r>
            <w:r>
              <w:rPr>
                <w:rFonts w:hint="eastAsia" w:ascii="宋体" w:hAnsi="宋体" w:eastAsia="宋体" w:cs="宋体"/>
                <w:color w:val="000000" w:themeColor="text1"/>
                <w:kern w:val="0"/>
                <w:szCs w:val="21"/>
                <w14:textFill>
                  <w14:solidFill>
                    <w14:schemeClr w14:val="tx1"/>
                  </w14:solidFill>
                </w14:textFill>
              </w:rPr>
              <w:t>背景、项目</w:t>
            </w:r>
            <w:r>
              <w:rPr>
                <w:rFonts w:ascii="宋体" w:hAnsi="宋体" w:eastAsia="宋体" w:cs="宋体"/>
                <w:color w:val="000000" w:themeColor="text1"/>
                <w:kern w:val="0"/>
                <w:szCs w:val="21"/>
                <w14:textFill>
                  <w14:solidFill>
                    <w14:schemeClr w14:val="tx1"/>
                  </w14:solidFill>
                </w14:textFill>
              </w:rPr>
              <w:t>需求的理解</w:t>
            </w:r>
            <w:r>
              <w:rPr>
                <w:rFonts w:hint="eastAsia" w:ascii="宋体" w:hAnsi="宋体" w:eastAsia="宋体" w:cs="宋体"/>
                <w:color w:val="000000" w:themeColor="text1"/>
                <w:kern w:val="0"/>
                <w:szCs w:val="21"/>
                <w14:textFill>
                  <w14:solidFill>
                    <w14:schemeClr w14:val="tx1"/>
                  </w14:solidFill>
                </w14:textFill>
              </w:rPr>
              <w:t>情况打分，综合评价其理解的</w:t>
            </w:r>
            <w:r>
              <w:rPr>
                <w:rFonts w:ascii="宋体" w:hAnsi="宋体" w:eastAsia="宋体" w:cs="宋体"/>
                <w:color w:val="000000" w:themeColor="text1"/>
                <w:kern w:val="0"/>
                <w:szCs w:val="21"/>
                <w14:textFill>
                  <w14:solidFill>
                    <w14:schemeClr w14:val="tx1"/>
                  </w14:solidFill>
                </w14:textFill>
              </w:rPr>
              <w:t>合理性、针对性、全面性。</w:t>
            </w:r>
            <w:r>
              <w:rPr>
                <w:rFonts w:hint="eastAsia" w:ascii="宋体" w:hAnsi="宋体" w:eastAsia="宋体" w:cs="宋体"/>
                <w:color w:val="000000" w:themeColor="text1"/>
                <w:kern w:val="0"/>
                <w:szCs w:val="21"/>
                <w14:textFill>
                  <w14:solidFill>
                    <w14:schemeClr w14:val="tx1"/>
                  </w14:solidFill>
                </w14:textFill>
              </w:rPr>
              <w:t>评价优得13分，良得9分，一般得5分，差得1分。</w:t>
            </w:r>
          </w:p>
        </w:tc>
        <w:tc>
          <w:tcPr>
            <w:tcW w:w="1526" w:type="dxa"/>
            <w:shd w:val="clear" w:color="auto" w:fill="auto"/>
            <w:vAlign w:val="center"/>
          </w:tcPr>
          <w:p>
            <w:pPr>
              <w:widowControl/>
              <w:adjustRightInd w:val="0"/>
              <w:snapToGrid w:val="0"/>
              <w:jc w:val="center"/>
              <w:textAlignment w:val="center"/>
              <w:rPr>
                <w:rFonts w:ascii="宋体" w:hAnsi="宋体" w:eastAsia="宋体" w:cs="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491" w:hRule="atLeast"/>
        </w:trPr>
        <w:tc>
          <w:tcPr>
            <w:tcW w:w="565" w:type="dxa"/>
            <w:vAlign w:val="center"/>
          </w:tcPr>
          <w:p>
            <w:pPr>
              <w:widowControl/>
              <w:adjustRightInd w:val="0"/>
              <w:snapToGrid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3</w:t>
            </w:r>
          </w:p>
        </w:tc>
        <w:tc>
          <w:tcPr>
            <w:tcW w:w="1406" w:type="dxa"/>
            <w:vAlign w:val="center"/>
          </w:tcPr>
          <w:p>
            <w:pPr>
              <w:widowControl/>
              <w:adjustRightInd w:val="0"/>
              <w:snapToGrid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策划方案构思</w:t>
            </w:r>
          </w:p>
          <w:p>
            <w:pPr>
              <w:widowControl/>
              <w:adjustRightInd w:val="0"/>
              <w:snapToGrid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（20分）</w:t>
            </w:r>
          </w:p>
        </w:tc>
        <w:tc>
          <w:tcPr>
            <w:tcW w:w="5776" w:type="dxa"/>
            <w:vAlign w:val="center"/>
          </w:tcPr>
          <w:p>
            <w:pPr>
              <w:widowControl/>
              <w:adjustRightInd w:val="0"/>
              <w:snapToGrid w:val="0"/>
              <w:jc w:val="left"/>
              <w:textAlignment w:val="center"/>
              <w:rPr>
                <w:rFonts w:ascii="宋体" w:hAnsi="宋体" w:eastAsia="宋体" w:cs="宋体"/>
                <w:color w:val="000000" w:themeColor="text1"/>
                <w:kern w:val="0"/>
                <w:szCs w:val="21"/>
                <w14:textFill>
                  <w14:solidFill>
                    <w14:schemeClr w14:val="tx1"/>
                  </w14:solidFill>
                </w14:textFill>
              </w:rPr>
            </w:pPr>
            <w:r>
              <w:rPr>
                <w:rFonts w:ascii="宋体" w:hAnsi="宋体" w:eastAsia="宋体" w:cs="宋体"/>
                <w:color w:val="000000" w:themeColor="text1"/>
                <w:kern w:val="0"/>
                <w:szCs w:val="21"/>
                <w14:textFill>
                  <w14:solidFill>
                    <w14:schemeClr w14:val="tx1"/>
                  </w14:solidFill>
                </w14:textFill>
              </w:rPr>
              <w:t>根据投标人提供的策划</w:t>
            </w:r>
            <w:r>
              <w:rPr>
                <w:rFonts w:hint="eastAsia" w:ascii="宋体" w:hAnsi="宋体" w:eastAsia="宋体" w:cs="宋体"/>
                <w:color w:val="000000" w:themeColor="text1"/>
                <w:kern w:val="0"/>
                <w:szCs w:val="21"/>
                <w14:textFill>
                  <w14:solidFill>
                    <w14:schemeClr w14:val="tx1"/>
                  </w14:solidFill>
                </w14:textFill>
              </w:rPr>
              <w:t>方案情况打分。方案从创意构思</w:t>
            </w:r>
            <w:r>
              <w:rPr>
                <w:rFonts w:ascii="宋体" w:hAnsi="宋体" w:eastAsia="宋体" w:cs="宋体"/>
                <w:color w:val="000000" w:themeColor="text1"/>
                <w:kern w:val="0"/>
                <w:szCs w:val="21"/>
                <w14:textFill>
                  <w14:solidFill>
                    <w14:schemeClr w14:val="tx1"/>
                  </w14:solidFill>
                </w14:textFill>
              </w:rPr>
              <w:t>、故事编排、</w:t>
            </w:r>
            <w:r>
              <w:rPr>
                <w:rFonts w:hint="eastAsia" w:ascii="宋体" w:hAnsi="宋体" w:eastAsia="宋体" w:cs="宋体"/>
                <w:color w:val="000000" w:themeColor="text1"/>
                <w:kern w:val="0"/>
                <w:szCs w:val="21"/>
                <w14:textFill>
                  <w14:solidFill>
                    <w14:schemeClr w14:val="tx1"/>
                  </w14:solidFill>
                </w14:textFill>
              </w:rPr>
              <w:t>选题、需求吻合度</w:t>
            </w:r>
            <w:r>
              <w:rPr>
                <w:rFonts w:ascii="宋体" w:hAnsi="宋体" w:eastAsia="宋体" w:cs="宋体"/>
                <w:color w:val="000000" w:themeColor="text1"/>
                <w:kern w:val="0"/>
                <w:szCs w:val="21"/>
                <w14:textFill>
                  <w14:solidFill>
                    <w14:schemeClr w14:val="tx1"/>
                  </w14:solidFill>
                </w14:textFill>
              </w:rPr>
              <w:t>等各方面</w:t>
            </w:r>
            <w:r>
              <w:rPr>
                <w:rFonts w:hint="eastAsia" w:ascii="宋体" w:hAnsi="宋体" w:eastAsia="宋体" w:cs="宋体"/>
                <w:color w:val="000000" w:themeColor="text1"/>
                <w:kern w:val="0"/>
                <w:szCs w:val="21"/>
                <w14:textFill>
                  <w14:solidFill>
                    <w14:schemeClr w14:val="tx1"/>
                  </w14:solidFill>
                </w14:textFill>
              </w:rPr>
              <w:t>综合考量，</w:t>
            </w:r>
            <w:r>
              <w:rPr>
                <w:rFonts w:ascii="宋体" w:hAnsi="宋体" w:eastAsia="宋体" w:cs="宋体"/>
                <w:color w:val="000000" w:themeColor="text1"/>
                <w:kern w:val="0"/>
                <w:szCs w:val="21"/>
                <w14:textFill>
                  <w14:solidFill>
                    <w14:schemeClr w14:val="tx1"/>
                  </w14:solidFill>
                </w14:textFill>
              </w:rPr>
              <w:t>对受众能形成理念认同感，具有较强的</w:t>
            </w:r>
            <w:r>
              <w:rPr>
                <w:rFonts w:hint="eastAsia" w:ascii="宋体" w:hAnsi="宋体" w:eastAsia="宋体" w:cs="宋体"/>
                <w:color w:val="000000" w:themeColor="text1"/>
                <w:kern w:val="0"/>
                <w:szCs w:val="21"/>
                <w14:textFill>
                  <w14:solidFill>
                    <w14:schemeClr w14:val="tx1"/>
                  </w14:solidFill>
                </w14:textFill>
              </w:rPr>
              <w:t>、</w:t>
            </w:r>
            <w:r>
              <w:rPr>
                <w:rFonts w:ascii="宋体" w:hAnsi="宋体" w:eastAsia="宋体" w:cs="宋体"/>
                <w:color w:val="000000" w:themeColor="text1"/>
                <w:kern w:val="0"/>
                <w:szCs w:val="21"/>
                <w14:textFill>
                  <w14:solidFill>
                    <w14:schemeClr w14:val="tx1"/>
                  </w14:solidFill>
                </w14:textFill>
              </w:rPr>
              <w:t>吸引力</w:t>
            </w:r>
            <w:r>
              <w:rPr>
                <w:rFonts w:hint="eastAsia" w:ascii="宋体" w:hAnsi="宋体" w:eastAsia="宋体" w:cs="宋体"/>
                <w:color w:val="000000" w:themeColor="text1"/>
                <w:kern w:val="0"/>
                <w:szCs w:val="21"/>
                <w14:textFill>
                  <w14:solidFill>
                    <w14:schemeClr w14:val="tx1"/>
                  </w14:solidFill>
                </w14:textFill>
              </w:rPr>
              <w:t>和传播力。评价优得20分，良得12分，一般得8分，差得1分。</w:t>
            </w:r>
          </w:p>
        </w:tc>
        <w:tc>
          <w:tcPr>
            <w:tcW w:w="1526" w:type="dxa"/>
            <w:shd w:val="clear" w:color="auto" w:fill="auto"/>
            <w:vAlign w:val="center"/>
          </w:tcPr>
          <w:p>
            <w:pPr>
              <w:widowControl/>
              <w:adjustRightInd w:val="0"/>
              <w:snapToGrid w:val="0"/>
              <w:jc w:val="center"/>
              <w:textAlignment w:val="center"/>
              <w:rPr>
                <w:rFonts w:ascii="宋体" w:hAnsi="宋体" w:eastAsia="宋体" w:cs="宋体"/>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36" w:hRule="atLeast"/>
        </w:trPr>
        <w:tc>
          <w:tcPr>
            <w:tcW w:w="565" w:type="dxa"/>
            <w:vAlign w:val="center"/>
          </w:tcPr>
          <w:p>
            <w:pPr>
              <w:widowControl/>
              <w:adjustRightInd w:val="0"/>
              <w:snapToGrid w:val="0"/>
              <w:jc w:val="center"/>
              <w:textAlignment w:val="center"/>
              <w:rPr>
                <w:rFonts w:ascii="宋体" w:hAnsi="宋体" w:eastAsia="宋体" w:cs="宋体"/>
                <w:color w:val="000000" w:themeColor="text1"/>
                <w:kern w:val="0"/>
                <w:szCs w:val="21"/>
                <w14:textFill>
                  <w14:solidFill>
                    <w14:schemeClr w14:val="tx1"/>
                  </w14:solidFill>
                </w14:textFill>
              </w:rPr>
            </w:pPr>
            <w:r>
              <w:rPr>
                <w:rFonts w:ascii="宋体" w:hAnsi="宋体" w:eastAsia="宋体" w:cs="宋体"/>
                <w:color w:val="000000" w:themeColor="text1"/>
                <w:kern w:val="0"/>
                <w:szCs w:val="21"/>
                <w14:textFill>
                  <w14:solidFill>
                    <w14:schemeClr w14:val="tx1"/>
                  </w14:solidFill>
                </w14:textFill>
              </w:rPr>
              <w:t>4</w:t>
            </w:r>
          </w:p>
        </w:tc>
        <w:tc>
          <w:tcPr>
            <w:tcW w:w="1406" w:type="dxa"/>
            <w:vAlign w:val="center"/>
          </w:tcPr>
          <w:p>
            <w:pPr>
              <w:widowControl/>
              <w:adjustRightInd w:val="0"/>
              <w:snapToGrid w:val="0"/>
              <w:jc w:val="center"/>
              <w:textAlignment w:val="center"/>
              <w:rPr>
                <w:rFonts w:ascii="宋体" w:hAnsi="宋体" w:eastAsia="宋体" w:cs="宋体"/>
                <w:color w:val="000000" w:themeColor="text1"/>
                <w:kern w:val="0"/>
                <w:szCs w:val="21"/>
                <w14:textFill>
                  <w14:solidFill>
                    <w14:schemeClr w14:val="tx1"/>
                  </w14:solidFill>
                </w14:textFill>
              </w:rPr>
            </w:pPr>
            <w:r>
              <w:rPr>
                <w:rFonts w:ascii="宋体" w:hAnsi="宋体" w:eastAsia="宋体" w:cs="宋体"/>
                <w:color w:val="000000" w:themeColor="text1"/>
                <w:kern w:val="0"/>
                <w:szCs w:val="21"/>
                <w14:textFill>
                  <w14:solidFill>
                    <w14:schemeClr w14:val="tx1"/>
                  </w14:solidFill>
                </w14:textFill>
              </w:rPr>
              <w:t>方案陈述、展示样片</w:t>
            </w:r>
          </w:p>
          <w:p>
            <w:pPr>
              <w:widowControl/>
              <w:adjustRightInd w:val="0"/>
              <w:snapToGrid w:val="0"/>
              <w:jc w:val="center"/>
              <w:textAlignment w:val="center"/>
              <w:rPr>
                <w:rFonts w:ascii="宋体" w:hAnsi="宋体" w:eastAsia="宋体" w:cs="宋体"/>
                <w:color w:val="000000" w:themeColor="text1"/>
                <w:kern w:val="0"/>
                <w:szCs w:val="21"/>
                <w14:textFill>
                  <w14:solidFill>
                    <w14:schemeClr w14:val="tx1"/>
                  </w14:solidFill>
                </w14:textFill>
              </w:rPr>
            </w:pPr>
            <w:r>
              <w:rPr>
                <w:rFonts w:ascii="宋体" w:hAnsi="宋体" w:eastAsia="宋体" w:cs="宋体"/>
                <w:color w:val="000000" w:themeColor="text1"/>
                <w:kern w:val="0"/>
                <w:szCs w:val="21"/>
                <w14:textFill>
                  <w14:solidFill>
                    <w14:schemeClr w14:val="tx1"/>
                  </w14:solidFill>
                </w14:textFill>
              </w:rPr>
              <w:t>（18分）</w:t>
            </w:r>
          </w:p>
        </w:tc>
        <w:tc>
          <w:tcPr>
            <w:tcW w:w="5776" w:type="dxa"/>
            <w:vAlign w:val="center"/>
          </w:tcPr>
          <w:p>
            <w:pPr>
              <w:widowControl/>
              <w:adjustRightInd w:val="0"/>
              <w:snapToGrid w:val="0"/>
              <w:jc w:val="left"/>
              <w:textAlignment w:val="center"/>
              <w:rPr>
                <w:rFonts w:ascii="宋体" w:hAnsi="宋体" w:eastAsia="宋体" w:cs="宋体"/>
                <w:color w:val="000000" w:themeColor="text1"/>
                <w:kern w:val="0"/>
                <w:szCs w:val="21"/>
                <w14:textFill>
                  <w14:solidFill>
                    <w14:schemeClr w14:val="tx1"/>
                  </w14:solidFill>
                </w14:textFill>
              </w:rPr>
            </w:pPr>
            <w:r>
              <w:rPr>
                <w:rFonts w:ascii="宋体" w:hAnsi="宋体" w:eastAsia="宋体" w:cs="宋体"/>
                <w:color w:val="000000" w:themeColor="text1"/>
                <w:kern w:val="0"/>
                <w:szCs w:val="21"/>
                <w14:textFill>
                  <w14:solidFill>
                    <w14:schemeClr w14:val="tx1"/>
                  </w14:solidFill>
                </w14:textFill>
              </w:rPr>
              <w:t>针对本项目特点提供约</w:t>
            </w:r>
            <w:r>
              <w:rPr>
                <w:rFonts w:hint="eastAsia" w:ascii="宋体" w:hAnsi="宋体" w:eastAsia="宋体" w:cs="宋体"/>
                <w:color w:val="000000" w:themeColor="text1"/>
                <w:kern w:val="0"/>
                <w:szCs w:val="21"/>
                <w14:textFill>
                  <w14:solidFill>
                    <w14:schemeClr w14:val="tx1"/>
                  </w14:solidFill>
                </w14:textFill>
              </w:rPr>
              <w:t>1</w:t>
            </w:r>
            <w:r>
              <w:rPr>
                <w:rFonts w:ascii="宋体" w:hAnsi="宋体" w:eastAsia="宋体" w:cs="宋体"/>
                <w:color w:val="000000" w:themeColor="text1"/>
                <w:kern w:val="0"/>
                <w:szCs w:val="21"/>
                <w14:textFill>
                  <w14:solidFill>
                    <w14:schemeClr w14:val="tx1"/>
                  </w14:solidFill>
                </w14:textFill>
              </w:rPr>
              <w:t>分钟的</w:t>
            </w:r>
            <w:r>
              <w:rPr>
                <w:rFonts w:hint="eastAsia" w:ascii="宋体" w:hAnsi="宋体" w:eastAsia="宋体" w:cs="宋体"/>
                <w:color w:val="000000" w:themeColor="text1"/>
                <w:kern w:val="0"/>
                <w:szCs w:val="21"/>
                <w14:textFill>
                  <w14:solidFill>
                    <w14:schemeClr w14:val="tx1"/>
                  </w14:solidFill>
                </w14:textFill>
              </w:rPr>
              <w:t>动画</w:t>
            </w:r>
            <w:r>
              <w:rPr>
                <w:rFonts w:ascii="宋体" w:hAnsi="宋体" w:eastAsia="宋体" w:cs="宋体"/>
                <w:color w:val="000000" w:themeColor="text1"/>
                <w:kern w:val="0"/>
                <w:szCs w:val="21"/>
                <w14:textFill>
                  <w14:solidFill>
                    <w14:schemeClr w14:val="tx1"/>
                  </w14:solidFill>
                </w14:textFill>
              </w:rPr>
              <w:t>短片，并陈述方案整体策划思路及创意（不超过</w:t>
            </w:r>
            <w:r>
              <w:rPr>
                <w:rFonts w:hint="eastAsia" w:ascii="宋体" w:hAnsi="宋体" w:eastAsia="宋体" w:cs="宋体"/>
                <w:color w:val="000000" w:themeColor="text1"/>
                <w:kern w:val="0"/>
                <w:szCs w:val="21"/>
                <w14:textFill>
                  <w14:solidFill>
                    <w14:schemeClr w14:val="tx1"/>
                  </w14:solidFill>
                </w14:textFill>
              </w:rPr>
              <w:t>8</w:t>
            </w:r>
            <w:r>
              <w:rPr>
                <w:rFonts w:ascii="宋体" w:hAnsi="宋体" w:eastAsia="宋体" w:cs="宋体"/>
                <w:color w:val="000000" w:themeColor="text1"/>
                <w:kern w:val="0"/>
                <w:szCs w:val="21"/>
                <w14:textFill>
                  <w14:solidFill>
                    <w14:schemeClr w14:val="tx1"/>
                  </w14:solidFill>
                </w14:textFill>
              </w:rPr>
              <w:t>分钟）。样片视觉品质高清精良、影片整体有艺术高度和美学效果；画面构图合理，曝光正常，运动镜头有辅助手段（如 摇臂、轨道），用光合理，画面视觉效果突出；后期制作剪辑流畅、镜头组接合理、节奏变化有序，音乐、音效应用恰当等方面由评委进行评议。根据陈述效果和样片展示效果进行综合评定：评价优得18分，良得10分，一般得5分，差得1分，无样片展示不得分。</w:t>
            </w:r>
          </w:p>
        </w:tc>
        <w:tc>
          <w:tcPr>
            <w:tcW w:w="1526" w:type="dxa"/>
            <w:shd w:val="clear" w:color="auto" w:fill="auto"/>
            <w:vAlign w:val="center"/>
          </w:tcPr>
          <w:p>
            <w:pPr>
              <w:widowControl/>
              <w:adjustRightInd w:val="0"/>
              <w:snapToGrid w:val="0"/>
              <w:jc w:val="center"/>
              <w:textAlignment w:val="center"/>
              <w:rPr>
                <w:rFonts w:ascii="宋体" w:hAnsi="宋体" w:eastAsia="宋体" w:cs="宋体"/>
                <w:color w:val="000000" w:themeColor="text1"/>
                <w:kern w:val="0"/>
                <w:szCs w:val="21"/>
                <w14:textFill>
                  <w14:solidFill>
                    <w14:schemeClr w14:val="tx1"/>
                  </w14:solidFill>
                </w14:textFill>
              </w:rPr>
            </w:pPr>
            <w:r>
              <w:rPr>
                <w:rFonts w:ascii="宋体" w:hAnsi="宋体" w:eastAsia="宋体" w:cs="宋体"/>
                <w:color w:val="000000" w:themeColor="text1"/>
                <w:kern w:val="0"/>
                <w:szCs w:val="21"/>
                <w14:textFill>
                  <w14:solidFill>
                    <w14:schemeClr w14:val="tx1"/>
                  </w14:solidFill>
                </w14:textFill>
              </w:rPr>
              <w:t>在比选过程中现场陈述方案、展示样片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81" w:hRule="atLeast"/>
        </w:trPr>
        <w:tc>
          <w:tcPr>
            <w:tcW w:w="565" w:type="dxa"/>
            <w:vAlign w:val="center"/>
          </w:tcPr>
          <w:p>
            <w:pPr>
              <w:widowControl/>
              <w:adjustRightInd w:val="0"/>
              <w:snapToGrid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5</w:t>
            </w:r>
          </w:p>
        </w:tc>
        <w:tc>
          <w:tcPr>
            <w:tcW w:w="1406" w:type="dxa"/>
            <w:vAlign w:val="center"/>
          </w:tcPr>
          <w:p>
            <w:pPr>
              <w:widowControl/>
              <w:adjustRightInd w:val="0"/>
              <w:snapToGrid w:val="0"/>
              <w:jc w:val="center"/>
              <w:textAlignment w:val="center"/>
              <w:rPr>
                <w:rFonts w:ascii="宋体" w:hAnsi="宋体" w:eastAsia="宋体" w:cs="宋体"/>
                <w:color w:val="000000" w:themeColor="text1"/>
                <w:kern w:val="0"/>
                <w:szCs w:val="21"/>
                <w14:textFill>
                  <w14:solidFill>
                    <w14:schemeClr w14:val="tx1"/>
                  </w14:solidFill>
                </w14:textFill>
              </w:rPr>
            </w:pPr>
            <w:r>
              <w:rPr>
                <w:rFonts w:ascii="宋体" w:hAnsi="宋体" w:eastAsia="宋体" w:cs="宋体"/>
                <w:color w:val="000000" w:themeColor="text1"/>
                <w:kern w:val="0"/>
                <w:szCs w:val="21"/>
                <w14:textFill>
                  <w14:solidFill>
                    <w14:schemeClr w14:val="tx1"/>
                  </w14:solidFill>
                </w14:textFill>
              </w:rPr>
              <w:t>项目经验</w:t>
            </w:r>
          </w:p>
          <w:p>
            <w:pPr>
              <w:widowControl/>
              <w:adjustRightInd w:val="0"/>
              <w:snapToGrid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（12分）</w:t>
            </w:r>
          </w:p>
        </w:tc>
        <w:tc>
          <w:tcPr>
            <w:tcW w:w="5776" w:type="dxa"/>
            <w:vAlign w:val="center"/>
          </w:tcPr>
          <w:p>
            <w:pPr>
              <w:widowControl/>
              <w:adjustRightInd w:val="0"/>
              <w:snapToGrid w:val="0"/>
              <w:jc w:val="left"/>
              <w:textAlignment w:val="center"/>
              <w:rPr>
                <w:rFonts w:ascii="宋体" w:hAnsi="宋体" w:eastAsia="宋体" w:cs="宋体"/>
                <w:color w:val="000000" w:themeColor="text1"/>
                <w:kern w:val="0"/>
                <w:szCs w:val="21"/>
                <w14:textFill>
                  <w14:solidFill>
                    <w14:schemeClr w14:val="tx1"/>
                  </w14:solidFill>
                </w14:textFill>
              </w:rPr>
            </w:pPr>
            <w:r>
              <w:rPr>
                <w:rFonts w:ascii="宋体" w:hAnsi="宋体" w:eastAsia="宋体" w:cs="宋体"/>
                <w:color w:val="000000" w:themeColor="text1"/>
                <w:kern w:val="0"/>
                <w:szCs w:val="21"/>
                <w14:textFill>
                  <w14:solidFill>
                    <w14:schemeClr w14:val="tx1"/>
                  </w14:solidFill>
                </w14:textFill>
              </w:rPr>
              <w:t>供应商</w:t>
            </w:r>
            <w:r>
              <w:rPr>
                <w:rFonts w:hint="eastAsia" w:ascii="宋体" w:hAnsi="宋体" w:eastAsia="宋体" w:cs="宋体"/>
                <w:color w:val="000000" w:themeColor="text1"/>
                <w:kern w:val="0"/>
                <w:szCs w:val="21"/>
                <w14:textFill>
                  <w14:solidFill>
                    <w14:schemeClr w14:val="tx1"/>
                  </w14:solidFill>
                </w14:textFill>
              </w:rPr>
              <w:t>自2018年以来有</w:t>
            </w:r>
            <w:r>
              <w:rPr>
                <w:rFonts w:ascii="宋体" w:hAnsi="宋体" w:eastAsia="宋体" w:cs="宋体"/>
                <w:color w:val="000000" w:themeColor="text1"/>
                <w:kern w:val="0"/>
                <w:szCs w:val="21"/>
                <w14:textFill>
                  <w14:solidFill>
                    <w14:schemeClr w14:val="tx1"/>
                  </w14:solidFill>
                </w14:textFill>
              </w:rPr>
              <w:t>同类</w:t>
            </w:r>
            <w:r>
              <w:rPr>
                <w:rFonts w:hint="eastAsia" w:ascii="宋体" w:hAnsi="宋体" w:eastAsia="宋体" w:cs="宋体"/>
                <w:color w:val="000000" w:themeColor="text1"/>
                <w:kern w:val="0"/>
                <w:szCs w:val="21"/>
                <w14:textFill>
                  <w14:solidFill>
                    <w14:schemeClr w14:val="tx1"/>
                  </w14:solidFill>
                </w14:textFill>
              </w:rPr>
              <w:t>型宣传视频</w:t>
            </w:r>
            <w:r>
              <w:rPr>
                <w:rFonts w:ascii="宋体" w:hAnsi="宋体" w:eastAsia="宋体" w:cs="宋体"/>
                <w:color w:val="000000" w:themeColor="text1"/>
                <w:kern w:val="0"/>
                <w:szCs w:val="21"/>
                <w14:textFill>
                  <w14:solidFill>
                    <w14:schemeClr w14:val="tx1"/>
                  </w14:solidFill>
                </w14:textFill>
              </w:rPr>
              <w:t>项目拍摄经验的，</w:t>
            </w:r>
            <w:r>
              <w:rPr>
                <w:rFonts w:hint="eastAsia" w:ascii="宋体" w:hAnsi="宋体" w:eastAsia="宋体" w:cs="宋体"/>
                <w:color w:val="000000" w:themeColor="text1"/>
                <w:kern w:val="0"/>
                <w:szCs w:val="21"/>
                <w14:textFill>
                  <w14:solidFill>
                    <w14:schemeClr w14:val="tx1"/>
                  </w14:solidFill>
                </w14:textFill>
              </w:rPr>
              <w:t>每有一个项目</w:t>
            </w:r>
            <w:r>
              <w:rPr>
                <w:rFonts w:ascii="宋体" w:hAnsi="宋体" w:eastAsia="宋体" w:cs="宋体"/>
                <w:color w:val="000000" w:themeColor="text1"/>
                <w:kern w:val="0"/>
                <w:szCs w:val="21"/>
                <w14:textFill>
                  <w14:solidFill>
                    <w14:schemeClr w14:val="tx1"/>
                  </w14:solidFill>
                </w14:textFill>
              </w:rPr>
              <w:t>得</w:t>
            </w:r>
            <w:r>
              <w:rPr>
                <w:rFonts w:hint="eastAsia" w:ascii="宋体" w:hAnsi="宋体" w:eastAsia="宋体" w:cs="宋体"/>
                <w:color w:val="000000" w:themeColor="text1"/>
                <w:kern w:val="0"/>
                <w:szCs w:val="21"/>
                <w14:textFill>
                  <w14:solidFill>
                    <w14:schemeClr w14:val="tx1"/>
                  </w14:solidFill>
                </w14:textFill>
              </w:rPr>
              <w:t>3</w:t>
            </w:r>
            <w:r>
              <w:rPr>
                <w:rFonts w:ascii="宋体" w:hAnsi="宋体" w:eastAsia="宋体" w:cs="宋体"/>
                <w:color w:val="000000" w:themeColor="text1"/>
                <w:kern w:val="0"/>
                <w:szCs w:val="21"/>
                <w14:textFill>
                  <w14:solidFill>
                    <w14:schemeClr w14:val="tx1"/>
                  </w14:solidFill>
                </w14:textFill>
              </w:rPr>
              <w:t>分，最高</w:t>
            </w:r>
            <w:r>
              <w:rPr>
                <w:rFonts w:hint="eastAsia" w:ascii="宋体" w:hAnsi="宋体" w:eastAsia="宋体" w:cs="宋体"/>
                <w:color w:val="000000" w:themeColor="text1"/>
                <w:kern w:val="0"/>
                <w:szCs w:val="21"/>
                <w14:textFill>
                  <w14:solidFill>
                    <w14:schemeClr w14:val="tx1"/>
                  </w14:solidFill>
                </w14:textFill>
              </w:rPr>
              <w:t>得</w:t>
            </w:r>
            <w:r>
              <w:rPr>
                <w:rFonts w:ascii="宋体" w:hAnsi="宋体" w:eastAsia="宋体" w:cs="宋体"/>
                <w:color w:val="000000" w:themeColor="text1"/>
                <w:kern w:val="0"/>
                <w:szCs w:val="21"/>
                <w14:textFill>
                  <w14:solidFill>
                    <w14:schemeClr w14:val="tx1"/>
                  </w14:solidFill>
                </w14:textFill>
              </w:rPr>
              <w:t>1</w:t>
            </w:r>
            <w:r>
              <w:rPr>
                <w:rFonts w:hint="eastAsia" w:ascii="宋体" w:hAnsi="宋体" w:eastAsia="宋体" w:cs="宋体"/>
                <w:color w:val="000000" w:themeColor="text1"/>
                <w:kern w:val="0"/>
                <w:szCs w:val="21"/>
                <w14:textFill>
                  <w14:solidFill>
                    <w14:schemeClr w14:val="tx1"/>
                  </w14:solidFill>
                </w14:textFill>
              </w:rPr>
              <w:t>2</w:t>
            </w:r>
            <w:r>
              <w:rPr>
                <w:rFonts w:ascii="宋体" w:hAnsi="宋体" w:eastAsia="宋体" w:cs="宋体"/>
                <w:color w:val="000000" w:themeColor="text1"/>
                <w:kern w:val="0"/>
                <w:szCs w:val="21"/>
                <w14:textFill>
                  <w14:solidFill>
                    <w14:schemeClr w14:val="tx1"/>
                  </w14:solidFill>
                </w14:textFill>
              </w:rPr>
              <w:t>分。</w:t>
            </w:r>
          </w:p>
        </w:tc>
        <w:tc>
          <w:tcPr>
            <w:tcW w:w="1526" w:type="dxa"/>
            <w:shd w:val="clear" w:color="auto" w:fill="auto"/>
            <w:vAlign w:val="center"/>
          </w:tcPr>
          <w:p>
            <w:pPr>
              <w:widowControl/>
              <w:adjustRightInd w:val="0"/>
              <w:snapToGrid w:val="0"/>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以加盖投标人公章的合同关键页复印件为准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098" w:hRule="atLeast"/>
        </w:trPr>
        <w:tc>
          <w:tcPr>
            <w:tcW w:w="565" w:type="dxa"/>
            <w:vAlign w:val="center"/>
          </w:tcPr>
          <w:p>
            <w:pPr>
              <w:widowControl/>
              <w:adjustRightInd w:val="0"/>
              <w:snapToGrid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6</w:t>
            </w:r>
          </w:p>
        </w:tc>
        <w:tc>
          <w:tcPr>
            <w:tcW w:w="1406" w:type="dxa"/>
            <w:vAlign w:val="center"/>
          </w:tcPr>
          <w:p>
            <w:pPr>
              <w:adjustRightInd w:val="0"/>
              <w:snapToGrid w:val="0"/>
              <w:jc w:val="center"/>
              <w:textAlignment w:val="center"/>
              <w:rPr>
                <w:rFonts w:ascii="宋体" w:hAnsi="宋体" w:cs="宋体"/>
                <w:color w:val="000000" w:themeColor="text1"/>
                <w:szCs w:val="21"/>
                <w14:textFill>
                  <w14:solidFill>
                    <w14:schemeClr w14:val="tx1"/>
                  </w14:solidFill>
                </w14:textFill>
              </w:rPr>
            </w:pPr>
            <w:r>
              <w:rPr>
                <w:rFonts w:ascii="宋体" w:hAnsi="宋体" w:cs="宋体"/>
                <w:color w:val="000000" w:themeColor="text1"/>
                <w:szCs w:val="21"/>
                <w14:textFill>
                  <w14:solidFill>
                    <w14:schemeClr w14:val="tx1"/>
                  </w14:solidFill>
                </w14:textFill>
              </w:rPr>
              <w:t>硬件要求</w:t>
            </w:r>
          </w:p>
          <w:p>
            <w:pPr>
              <w:adjustRightInd w:val="0"/>
              <w:snapToGrid w:val="0"/>
              <w:jc w:val="center"/>
              <w:textAlignment w:val="center"/>
              <w:rPr>
                <w:rFonts w:ascii="宋体" w:hAnsi="宋体" w:cs="宋体"/>
                <w:color w:val="000000" w:themeColor="text1"/>
                <w:szCs w:val="21"/>
                <w14:textFill>
                  <w14:solidFill>
                    <w14:schemeClr w14:val="tx1"/>
                  </w14:solidFill>
                </w14:textFill>
              </w:rPr>
            </w:pPr>
            <w:r>
              <w:rPr>
                <w:rFonts w:ascii="宋体" w:hAnsi="宋体" w:cs="宋体"/>
                <w:color w:val="000000" w:themeColor="text1"/>
                <w:szCs w:val="21"/>
                <w14:textFill>
                  <w14:solidFill>
                    <w14:schemeClr w14:val="tx1"/>
                  </w14:solidFill>
                </w14:textFill>
              </w:rPr>
              <w:t>（4分）</w:t>
            </w:r>
          </w:p>
        </w:tc>
        <w:tc>
          <w:tcPr>
            <w:tcW w:w="5776" w:type="dxa"/>
            <w:vAlign w:val="center"/>
          </w:tcPr>
          <w:p>
            <w:pPr>
              <w:adjustRightInd w:val="0"/>
              <w:snapToGrid w:val="0"/>
              <w:jc w:val="left"/>
              <w:textAlignment w:val="center"/>
              <w:rPr>
                <w:rFonts w:ascii="宋体" w:hAnsi="宋体" w:cs="宋体"/>
                <w:color w:val="000000" w:themeColor="text1"/>
                <w:szCs w:val="21"/>
                <w14:textFill>
                  <w14:solidFill>
                    <w14:schemeClr w14:val="tx1"/>
                  </w14:solidFill>
                </w14:textFill>
              </w:rPr>
            </w:pPr>
            <w:r>
              <w:rPr>
                <w:rFonts w:ascii="宋体" w:hAnsi="宋体" w:cs="宋体"/>
                <w:color w:val="000000" w:themeColor="text1"/>
                <w:szCs w:val="21"/>
                <w14:textFill>
                  <w14:solidFill>
                    <w14:schemeClr w14:val="tx1"/>
                  </w14:solidFill>
                </w14:textFill>
              </w:rPr>
              <w:t>投标人具有</w:t>
            </w:r>
            <w:r>
              <w:rPr>
                <w:rFonts w:hint="eastAsia" w:ascii="宋体" w:hAnsi="宋体" w:cs="宋体"/>
                <w:color w:val="000000" w:themeColor="text1"/>
                <w:szCs w:val="21"/>
                <w14:textFill>
                  <w14:solidFill>
                    <w14:schemeClr w14:val="tx1"/>
                  </w14:solidFill>
                </w14:textFill>
              </w:rPr>
              <w:t>专业</w:t>
            </w:r>
            <w:r>
              <w:rPr>
                <w:rFonts w:ascii="宋体" w:hAnsi="宋体" w:cs="宋体"/>
                <w:color w:val="000000" w:themeColor="text1"/>
                <w:szCs w:val="21"/>
                <w14:textFill>
                  <w14:solidFill>
                    <w14:schemeClr w14:val="tx1"/>
                  </w14:solidFill>
                </w14:textFill>
              </w:rPr>
              <w:t>录音棚，有则得4分，无则不得分。</w:t>
            </w:r>
          </w:p>
        </w:tc>
        <w:tc>
          <w:tcPr>
            <w:tcW w:w="1526" w:type="dxa"/>
            <w:shd w:val="clear" w:color="auto" w:fill="auto"/>
            <w:vAlign w:val="center"/>
          </w:tcPr>
          <w:p>
            <w:pPr>
              <w:widowControl/>
              <w:adjustRightInd w:val="0"/>
              <w:snapToGrid w:val="0"/>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提供专业录影棚设置清单，有明显投标人公司标识的现场实景照片（正本必须是彩色照片）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354" w:hRule="atLeast"/>
        </w:trPr>
        <w:tc>
          <w:tcPr>
            <w:tcW w:w="565" w:type="dxa"/>
            <w:vMerge w:val="restart"/>
            <w:vAlign w:val="center"/>
          </w:tcPr>
          <w:p>
            <w:pPr>
              <w:widowControl/>
              <w:adjustRightInd w:val="0"/>
              <w:snapToGrid w:val="0"/>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7</w:t>
            </w:r>
          </w:p>
        </w:tc>
        <w:tc>
          <w:tcPr>
            <w:tcW w:w="1406" w:type="dxa"/>
            <w:vMerge w:val="restart"/>
            <w:vAlign w:val="center"/>
          </w:tcPr>
          <w:p>
            <w:pPr>
              <w:widowControl/>
              <w:adjustRightInd w:val="0"/>
              <w:snapToGrid w:val="0"/>
              <w:jc w:val="left"/>
              <w:rPr>
                <w:rFonts w:ascii="宋体" w:hAnsi="宋体" w:eastAsia="宋体"/>
                <w:bCs/>
                <w:color w:val="000000" w:themeColor="text1"/>
                <w:kern w:val="0"/>
                <w:szCs w:val="21"/>
                <w14:textFill>
                  <w14:solidFill>
                    <w14:schemeClr w14:val="tx1"/>
                  </w14:solidFill>
                </w14:textFill>
              </w:rPr>
            </w:pPr>
            <w:r>
              <w:rPr>
                <w:rFonts w:hint="eastAsia" w:ascii="宋体" w:hAnsi="宋体" w:eastAsia="宋体"/>
                <w:bCs/>
                <w:color w:val="000000" w:themeColor="text1"/>
                <w:kern w:val="0"/>
                <w:szCs w:val="21"/>
                <w14:textFill>
                  <w14:solidFill>
                    <w14:schemeClr w14:val="tx1"/>
                  </w14:solidFill>
                </w14:textFill>
              </w:rPr>
              <w:t>供应商实力</w:t>
            </w:r>
          </w:p>
          <w:p>
            <w:pPr>
              <w:widowControl/>
              <w:adjustRightInd w:val="0"/>
              <w:snapToGrid w:val="0"/>
              <w:jc w:val="left"/>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bCs/>
                <w:color w:val="000000" w:themeColor="text1"/>
                <w:kern w:val="0"/>
                <w:szCs w:val="21"/>
                <w14:textFill>
                  <w14:solidFill>
                    <w14:schemeClr w14:val="tx1"/>
                  </w14:solidFill>
                </w14:textFill>
              </w:rPr>
              <w:t>（16分）</w:t>
            </w:r>
          </w:p>
        </w:tc>
        <w:tc>
          <w:tcPr>
            <w:tcW w:w="5776" w:type="dxa"/>
            <w:vAlign w:val="center"/>
          </w:tcPr>
          <w:p>
            <w:pPr>
              <w:pStyle w:val="17"/>
              <w:numPr>
                <w:ilvl w:val="0"/>
                <w:numId w:val="1"/>
              </w:numPr>
              <w:ind w:firstLineChars="0"/>
              <w:textAlignment w:val="top"/>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为本项目专门配备的导演，须具有较高艺术创造力，能有效组织拍摄内容及质量，统一指导现场拍摄、录音、用光以及后期剪辑，能为影片找到恰当的表达形式，导演从业经验5年以上，为广播电视电影编导相关专业本科及以上的毕业得1分。</w:t>
            </w:r>
          </w:p>
          <w:p>
            <w:pPr>
              <w:pStyle w:val="17"/>
              <w:numPr>
                <w:ilvl w:val="0"/>
                <w:numId w:val="1"/>
              </w:numPr>
              <w:ind w:firstLineChars="0"/>
              <w:textAlignment w:val="top"/>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为本项目专门配备的摄影师，拍摄从业经验在5年及以上的，且具有拍摄、制作文化类专题片的经验，为广播电视电影或摄影相关专业本科及以上毕业的得1分。</w:t>
            </w:r>
          </w:p>
          <w:p>
            <w:pPr>
              <w:pStyle w:val="17"/>
              <w:numPr>
                <w:ilvl w:val="0"/>
                <w:numId w:val="1"/>
              </w:numPr>
              <w:ind w:firstLineChars="0"/>
              <w:textAlignment w:val="top"/>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为本项目专门配备的编剧，须为本项目主要创作人员，负责策划、撰写、对前期的调研，研究和分析脚本及提供后续相关文本等工作，具有丰富的编剧经验，为广播电视电影编导相关专业本科及以上毕业的得1分。</w:t>
            </w:r>
          </w:p>
          <w:p>
            <w:pPr>
              <w:pStyle w:val="17"/>
              <w:numPr>
                <w:ilvl w:val="0"/>
                <w:numId w:val="1"/>
              </w:numPr>
              <w:ind w:firstLineChars="0"/>
              <w:textAlignment w:val="top"/>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为本项目专门配备的美术人员，具有制作丰富的同类影片经验，具有独到的艺术理念，为广播电视电影或美术相关专业本科及以上毕业的得1分。</w:t>
            </w:r>
          </w:p>
          <w:p>
            <w:pPr>
              <w:pStyle w:val="17"/>
              <w:numPr>
                <w:ilvl w:val="0"/>
                <w:numId w:val="1"/>
              </w:numPr>
              <w:ind w:firstLineChars="0"/>
              <w:textAlignment w:val="top"/>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为本项目专门配备的后期制作人员，具有制作文化类专题片的经验，具有独到的艺术理念，从业经验丰富，为广播电视电影或影视后期相关专业本科及以上毕业的得1分。</w:t>
            </w:r>
          </w:p>
        </w:tc>
        <w:tc>
          <w:tcPr>
            <w:tcW w:w="1526" w:type="dxa"/>
            <w:shd w:val="clear" w:color="auto" w:fill="auto"/>
            <w:vAlign w:val="center"/>
          </w:tcPr>
          <w:p>
            <w:pPr>
              <w:widowControl/>
              <w:adjustRightInd w:val="0"/>
              <w:snapToGrid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以加盖投标人公章的</w:t>
            </w:r>
            <w:r>
              <w:rPr>
                <w:rFonts w:ascii="宋体" w:hAnsi="宋体" w:eastAsia="宋体" w:cs="宋体"/>
                <w:color w:val="000000" w:themeColor="text1"/>
                <w:kern w:val="0"/>
                <w:szCs w:val="21"/>
                <w14:textFill>
                  <w14:solidFill>
                    <w14:schemeClr w14:val="tx1"/>
                  </w14:solidFill>
                </w14:textFill>
              </w:rPr>
              <w:t>相关人员学历证明及相关从业经历简历</w:t>
            </w:r>
            <w:r>
              <w:rPr>
                <w:rFonts w:hint="eastAsia" w:ascii="宋体" w:hAnsi="宋体" w:eastAsia="宋体" w:cs="宋体"/>
                <w:color w:val="000000" w:themeColor="text1"/>
                <w:kern w:val="0"/>
                <w:szCs w:val="21"/>
                <w14:textFill>
                  <w14:solidFill>
                    <w14:schemeClr w14:val="tx1"/>
                  </w14:solidFill>
                </w14:textFill>
              </w:rPr>
              <w:t>材料为准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228" w:hRule="atLeast"/>
        </w:trPr>
        <w:tc>
          <w:tcPr>
            <w:tcW w:w="565" w:type="dxa"/>
            <w:vMerge w:val="continue"/>
            <w:vAlign w:val="center"/>
          </w:tcPr>
          <w:p>
            <w:pPr>
              <w:widowControl/>
              <w:adjustRightInd w:val="0"/>
              <w:snapToGrid w:val="0"/>
              <w:jc w:val="center"/>
              <w:rPr>
                <w:rFonts w:ascii="宋体" w:hAnsi="宋体" w:eastAsia="宋体" w:cs="宋体"/>
                <w:color w:val="000000" w:themeColor="text1"/>
                <w:kern w:val="0"/>
                <w:szCs w:val="21"/>
                <w14:textFill>
                  <w14:solidFill>
                    <w14:schemeClr w14:val="tx1"/>
                  </w14:solidFill>
                </w14:textFill>
              </w:rPr>
            </w:pPr>
          </w:p>
        </w:tc>
        <w:tc>
          <w:tcPr>
            <w:tcW w:w="1406" w:type="dxa"/>
            <w:vMerge w:val="continue"/>
            <w:vAlign w:val="center"/>
          </w:tcPr>
          <w:p>
            <w:pPr>
              <w:widowControl/>
              <w:adjustRightInd w:val="0"/>
              <w:snapToGrid w:val="0"/>
              <w:jc w:val="left"/>
              <w:rPr>
                <w:rFonts w:ascii="宋体" w:hAnsi="宋体" w:eastAsia="宋体"/>
                <w:bCs/>
                <w:color w:val="000000" w:themeColor="text1"/>
                <w:kern w:val="0"/>
                <w:szCs w:val="21"/>
                <w14:textFill>
                  <w14:solidFill>
                    <w14:schemeClr w14:val="tx1"/>
                  </w14:solidFill>
                </w14:textFill>
              </w:rPr>
            </w:pPr>
          </w:p>
        </w:tc>
        <w:tc>
          <w:tcPr>
            <w:tcW w:w="5776" w:type="dxa"/>
            <w:vAlign w:val="center"/>
          </w:tcPr>
          <w:p>
            <w:pPr>
              <w:pStyle w:val="17"/>
              <w:ind w:firstLine="0" w:firstLineChars="0"/>
              <w:textAlignment w:val="top"/>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w:t>
            </w:r>
            <w:r>
              <w:rPr>
                <w:color w:val="000000" w:themeColor="text1"/>
                <w:sz w:val="21"/>
                <w:szCs w:val="21"/>
                <w14:textFill>
                  <w14:solidFill>
                    <w14:schemeClr w14:val="tx1"/>
                  </w14:solidFill>
                </w14:textFill>
              </w:rPr>
              <w:t>团队或</w:t>
            </w:r>
            <w:r>
              <w:rPr>
                <w:rFonts w:hint="eastAsia"/>
                <w:color w:val="000000" w:themeColor="text1"/>
                <w:sz w:val="21"/>
                <w:szCs w:val="21"/>
                <w14:textFill>
                  <w14:solidFill>
                    <w14:schemeClr w14:val="tx1"/>
                  </w14:solidFill>
                </w14:textFill>
              </w:rPr>
              <w:t>成员</w:t>
            </w:r>
            <w:r>
              <w:rPr>
                <w:color w:val="000000" w:themeColor="text1"/>
                <w:sz w:val="21"/>
                <w:szCs w:val="21"/>
                <w14:textFill>
                  <w14:solidFill>
                    <w14:schemeClr w14:val="tx1"/>
                  </w14:solidFill>
                </w14:textFill>
              </w:rPr>
              <w:t>作品在央视及卫视等电视台播出的，每条得3分，最多得6分；</w:t>
            </w:r>
            <w:r>
              <w:rPr>
                <w:rFonts w:hint="eastAsia"/>
                <w:color w:val="000000" w:themeColor="text1"/>
                <w:sz w:val="21"/>
                <w:szCs w:val="21"/>
                <w14:textFill>
                  <w14:solidFill>
                    <w14:schemeClr w14:val="tx1"/>
                  </w14:solidFill>
                </w14:textFill>
              </w:rPr>
              <w:t>作品</w:t>
            </w:r>
            <w:r>
              <w:rPr>
                <w:color w:val="000000" w:themeColor="text1"/>
                <w:sz w:val="21"/>
                <w:szCs w:val="21"/>
                <w14:textFill>
                  <w14:solidFill>
                    <w14:schemeClr w14:val="tx1"/>
                  </w14:solidFill>
                </w14:textFill>
              </w:rPr>
              <w:t>在省市级电视台播出的，每条得1分，最多得2分。本项总计不超过8分。</w:t>
            </w:r>
          </w:p>
        </w:tc>
        <w:tc>
          <w:tcPr>
            <w:tcW w:w="1526" w:type="dxa"/>
            <w:shd w:val="clear" w:color="auto" w:fill="auto"/>
            <w:vAlign w:val="center"/>
          </w:tcPr>
          <w:p>
            <w:pPr>
              <w:widowControl/>
              <w:adjustRightInd w:val="0"/>
              <w:snapToGrid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以加盖投标人公章的播放证明材料为准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55" w:hRule="atLeast"/>
        </w:trPr>
        <w:tc>
          <w:tcPr>
            <w:tcW w:w="565" w:type="dxa"/>
            <w:vMerge w:val="continue"/>
            <w:vAlign w:val="center"/>
          </w:tcPr>
          <w:p>
            <w:pPr>
              <w:widowControl/>
              <w:adjustRightInd w:val="0"/>
              <w:snapToGrid w:val="0"/>
              <w:jc w:val="center"/>
              <w:rPr>
                <w:rFonts w:ascii="宋体" w:hAnsi="宋体" w:eastAsia="宋体" w:cs="宋体"/>
                <w:color w:val="000000" w:themeColor="text1"/>
                <w:kern w:val="0"/>
                <w:szCs w:val="21"/>
                <w14:textFill>
                  <w14:solidFill>
                    <w14:schemeClr w14:val="tx1"/>
                  </w14:solidFill>
                </w14:textFill>
              </w:rPr>
            </w:pPr>
          </w:p>
        </w:tc>
        <w:tc>
          <w:tcPr>
            <w:tcW w:w="1406" w:type="dxa"/>
            <w:vMerge w:val="continue"/>
            <w:vAlign w:val="center"/>
          </w:tcPr>
          <w:p>
            <w:pPr>
              <w:widowControl/>
              <w:adjustRightInd w:val="0"/>
              <w:snapToGrid w:val="0"/>
              <w:jc w:val="left"/>
              <w:rPr>
                <w:rFonts w:ascii="宋体" w:hAnsi="宋体" w:eastAsia="宋体"/>
                <w:bCs/>
                <w:color w:val="000000" w:themeColor="text1"/>
                <w:kern w:val="0"/>
                <w:szCs w:val="21"/>
                <w14:textFill>
                  <w14:solidFill>
                    <w14:schemeClr w14:val="tx1"/>
                  </w14:solidFill>
                </w14:textFill>
              </w:rPr>
            </w:pPr>
          </w:p>
        </w:tc>
        <w:tc>
          <w:tcPr>
            <w:tcW w:w="5776" w:type="dxa"/>
            <w:vAlign w:val="center"/>
          </w:tcPr>
          <w:p>
            <w:pPr>
              <w:widowControl/>
              <w:adjustRightInd w:val="0"/>
              <w:snapToGrid w:val="0"/>
              <w:jc w:val="left"/>
              <w:textAlignment w:val="center"/>
              <w:rPr>
                <w:rFonts w:ascii="宋体" w:hAnsi="宋体" w:eastAsia="宋体"/>
                <w:bCs/>
                <w:color w:val="000000" w:themeColor="text1"/>
                <w:kern w:val="0"/>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本项目团队或成员有省级以上影视作品奖项的，每有一项得</w:t>
            </w:r>
            <w:r>
              <w:rPr>
                <w:rFonts w:ascii="宋体" w:hAnsi="宋体" w:eastAsia="宋体"/>
                <w:color w:val="000000" w:themeColor="text1"/>
                <w:szCs w:val="21"/>
                <w14:textFill>
                  <w14:solidFill>
                    <w14:schemeClr w14:val="tx1"/>
                  </w14:solidFill>
                </w14:textFill>
              </w:rPr>
              <w:t>1</w:t>
            </w:r>
            <w:r>
              <w:rPr>
                <w:rFonts w:hint="eastAsia" w:ascii="宋体" w:hAnsi="宋体" w:eastAsia="宋体"/>
                <w:color w:val="000000" w:themeColor="text1"/>
                <w:szCs w:val="21"/>
                <w14:textFill>
                  <w14:solidFill>
                    <w14:schemeClr w14:val="tx1"/>
                  </w14:solidFill>
                </w14:textFill>
              </w:rPr>
              <w:t>分,最高得3分。</w:t>
            </w:r>
          </w:p>
        </w:tc>
        <w:tc>
          <w:tcPr>
            <w:tcW w:w="1526" w:type="dxa"/>
            <w:shd w:val="clear" w:color="auto" w:fill="auto"/>
            <w:vAlign w:val="center"/>
          </w:tcPr>
          <w:p>
            <w:pPr>
              <w:widowControl/>
              <w:adjustRightInd w:val="0"/>
              <w:snapToGrid w:val="0"/>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以加盖投标人公章的获奖证书或获奖证明材料为准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71" w:hRule="atLeast"/>
        </w:trPr>
        <w:tc>
          <w:tcPr>
            <w:tcW w:w="565" w:type="dxa"/>
            <w:vAlign w:val="center"/>
          </w:tcPr>
          <w:p>
            <w:pPr>
              <w:widowControl/>
              <w:adjustRightInd w:val="0"/>
              <w:snapToGrid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8</w:t>
            </w:r>
          </w:p>
        </w:tc>
        <w:tc>
          <w:tcPr>
            <w:tcW w:w="1406" w:type="dxa"/>
            <w:vAlign w:val="center"/>
          </w:tcPr>
          <w:p>
            <w:pPr>
              <w:widowControl/>
              <w:adjustRightInd w:val="0"/>
              <w:snapToGrid w:val="0"/>
              <w:jc w:val="center"/>
              <w:textAlignment w:val="center"/>
              <w:rPr>
                <w:rFonts w:ascii="宋体" w:hAnsi="宋体" w:eastAsia="宋体" w:cs="宋体"/>
                <w:color w:val="000000" w:themeColor="text1"/>
                <w:kern w:val="0"/>
                <w:szCs w:val="21"/>
                <w14:textFill>
                  <w14:solidFill>
                    <w14:schemeClr w14:val="tx1"/>
                  </w14:solidFill>
                </w14:textFill>
              </w:rPr>
            </w:pPr>
            <w:r>
              <w:rPr>
                <w:rFonts w:ascii="宋体" w:hAnsi="宋体" w:eastAsia="宋体" w:cs="宋体"/>
                <w:color w:val="000000" w:themeColor="text1"/>
                <w:kern w:val="0"/>
                <w:szCs w:val="21"/>
                <w14:textFill>
                  <w14:solidFill>
                    <w14:schemeClr w14:val="tx1"/>
                  </w14:solidFill>
                </w14:textFill>
              </w:rPr>
              <w:t>响应文件的规范性（</w:t>
            </w:r>
            <w:r>
              <w:rPr>
                <w:rFonts w:hint="eastAsia" w:ascii="宋体" w:hAnsi="宋体" w:eastAsia="宋体" w:cs="宋体"/>
                <w:color w:val="000000" w:themeColor="text1"/>
                <w:kern w:val="0"/>
                <w:szCs w:val="21"/>
                <w14:textFill>
                  <w14:solidFill>
                    <w14:schemeClr w14:val="tx1"/>
                  </w14:solidFill>
                </w14:textFill>
              </w:rPr>
              <w:t>2分</w:t>
            </w:r>
            <w:r>
              <w:rPr>
                <w:rFonts w:ascii="宋体" w:hAnsi="宋体" w:eastAsia="宋体" w:cs="宋体"/>
                <w:color w:val="000000" w:themeColor="text1"/>
                <w:kern w:val="0"/>
                <w:szCs w:val="21"/>
                <w14:textFill>
                  <w14:solidFill>
                    <w14:schemeClr w14:val="tx1"/>
                  </w14:solidFill>
                </w14:textFill>
              </w:rPr>
              <w:t>）</w:t>
            </w:r>
          </w:p>
        </w:tc>
        <w:tc>
          <w:tcPr>
            <w:tcW w:w="5776" w:type="dxa"/>
            <w:vAlign w:val="center"/>
          </w:tcPr>
          <w:p>
            <w:pPr>
              <w:widowControl/>
              <w:adjustRightInd w:val="0"/>
              <w:snapToGrid w:val="0"/>
              <w:jc w:val="left"/>
              <w:textAlignment w:val="center"/>
              <w:rPr>
                <w:rFonts w:ascii="宋体" w:hAnsi="宋体" w:eastAsia="宋体" w:cs="宋体"/>
                <w:color w:val="000000" w:themeColor="text1"/>
                <w:kern w:val="0"/>
                <w:szCs w:val="21"/>
                <w14:textFill>
                  <w14:solidFill>
                    <w14:schemeClr w14:val="tx1"/>
                  </w14:solidFill>
                </w14:textFill>
              </w:rPr>
            </w:pPr>
            <w:r>
              <w:rPr>
                <w:rFonts w:ascii="宋体" w:hAnsi="宋体" w:eastAsia="宋体" w:cs="宋体"/>
                <w:color w:val="000000" w:themeColor="text1"/>
                <w:kern w:val="0"/>
                <w:szCs w:val="21"/>
                <w14:textFill>
                  <w14:solidFill>
                    <w14:schemeClr w14:val="tx1"/>
                  </w14:solidFill>
                </w14:textFill>
              </w:rPr>
              <w:t>响应文件制作规范，没有细微偏差情形的得满分，</w:t>
            </w:r>
            <w:r>
              <w:rPr>
                <w:rFonts w:hint="eastAsia" w:ascii="宋体" w:hAnsi="宋体" w:eastAsia="宋体" w:cs="宋体"/>
                <w:color w:val="000000" w:themeColor="text1"/>
                <w:kern w:val="0"/>
                <w:szCs w:val="21"/>
                <w14:textFill>
                  <w14:solidFill>
                    <w14:schemeClr w14:val="tx1"/>
                  </w14:solidFill>
                </w14:textFill>
              </w:rPr>
              <w:t>每</w:t>
            </w:r>
            <w:r>
              <w:rPr>
                <w:rFonts w:ascii="宋体" w:hAnsi="宋体" w:eastAsia="宋体" w:cs="宋体"/>
                <w:color w:val="000000" w:themeColor="text1"/>
                <w:kern w:val="0"/>
                <w:szCs w:val="21"/>
                <w14:textFill>
                  <w14:solidFill>
                    <w14:schemeClr w14:val="tx1"/>
                  </w14:solidFill>
                </w14:textFill>
              </w:rPr>
              <w:t>有一项细微偏差扣1分，扣完为止。</w:t>
            </w:r>
          </w:p>
        </w:tc>
        <w:tc>
          <w:tcPr>
            <w:tcW w:w="1526" w:type="dxa"/>
            <w:shd w:val="clear" w:color="auto" w:fill="auto"/>
            <w:vAlign w:val="center"/>
          </w:tcPr>
          <w:p>
            <w:pPr>
              <w:widowControl/>
              <w:adjustRightInd w:val="0"/>
              <w:snapToGrid w:val="0"/>
              <w:jc w:val="left"/>
              <w:textAlignment w:val="center"/>
              <w:rPr>
                <w:rFonts w:ascii="宋体" w:hAnsi="宋体" w:eastAsia="宋体" w:cs="宋体"/>
                <w:color w:val="000000" w:themeColor="text1"/>
                <w:kern w:val="0"/>
                <w:szCs w:val="21"/>
                <w14:textFill>
                  <w14:solidFill>
                    <w14:schemeClr w14:val="tx1"/>
                  </w14:solidFill>
                </w14:textFill>
              </w:rPr>
            </w:pPr>
          </w:p>
        </w:tc>
      </w:tr>
    </w:tbl>
    <w:p>
      <w:pPr>
        <w:adjustRightInd w:val="0"/>
        <w:snapToGrid w:val="0"/>
        <w:ind w:firstLine="420" w:firstLineChars="200"/>
        <w:rPr>
          <w:rFonts w:ascii="宋体" w:hAnsi="宋体" w:eastAsia="宋体"/>
          <w:color w:val="000000"/>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color w:val="000000"/>
          <w:sz w:val="28"/>
          <w:szCs w:val="28"/>
        </w:rPr>
      </w:pPr>
      <w:r>
        <w:rPr>
          <w:rFonts w:hint="eastAsia" w:ascii="华文中宋" w:hAnsi="华文中宋" w:eastAsia="华文中宋"/>
          <w:b/>
          <w:sz w:val="32"/>
        </w:rPr>
        <w:t xml:space="preserve"> </w:t>
      </w:r>
    </w:p>
    <w:p>
      <w:pPr>
        <w:rPr>
          <w:color w:val="000000" w:themeColor="text1"/>
        </w:rPr>
      </w:pPr>
      <w:r>
        <w:rPr>
          <w:color w:val="000000" w:themeColor="text1"/>
        </w:rPr>
        <w:br w:type="page"/>
      </w:r>
    </w:p>
    <w:p>
      <w:pPr>
        <w:rPr>
          <w:color w:val="000000" w:themeColor="text1"/>
        </w:rPr>
      </w:pPr>
    </w:p>
    <w:p>
      <w:pPr>
        <w:jc w:val="left"/>
        <w:rPr>
          <w:rFonts w:ascii="华文中宋" w:hAnsi="华文中宋" w:eastAsia="华文中宋"/>
          <w:b/>
          <w:sz w:val="32"/>
        </w:rPr>
      </w:pPr>
      <w:r>
        <w:rPr>
          <w:rFonts w:hint="eastAsia" w:ascii="华文中宋" w:hAnsi="华文中宋" w:eastAsia="华文中宋"/>
          <w:b/>
          <w:sz w:val="32"/>
        </w:rPr>
        <w:t>附件2：比选文件格式</w:t>
      </w:r>
    </w:p>
    <w:p>
      <w:pPr>
        <w:pStyle w:val="14"/>
        <w:numPr>
          <w:ilvl w:val="0"/>
          <w:numId w:val="2"/>
        </w:numPr>
        <w:ind w:right="150" w:firstLineChars="0"/>
        <w:jc w:val="left"/>
        <w:rPr>
          <w:sz w:val="30"/>
          <w:szCs w:val="30"/>
        </w:rPr>
      </w:pPr>
      <w:r>
        <w:rPr>
          <w:rFonts w:hint="eastAsia"/>
          <w:sz w:val="30"/>
          <w:szCs w:val="30"/>
        </w:rPr>
        <w:t>公司资质（复印件盖鲜章）</w:t>
      </w:r>
    </w:p>
    <w:p>
      <w:pPr>
        <w:pStyle w:val="14"/>
        <w:numPr>
          <w:ilvl w:val="0"/>
          <w:numId w:val="2"/>
        </w:numPr>
        <w:ind w:firstLineChars="0"/>
        <w:rPr>
          <w:sz w:val="30"/>
          <w:szCs w:val="30"/>
        </w:rPr>
      </w:pPr>
      <w:r>
        <w:rPr>
          <w:rFonts w:hint="eastAsia"/>
          <w:sz w:val="30"/>
          <w:szCs w:val="30"/>
        </w:rPr>
        <w:t>法人授权委托函</w:t>
      </w:r>
    </w:p>
    <w:p>
      <w:pPr>
        <w:pStyle w:val="14"/>
        <w:numPr>
          <w:ilvl w:val="0"/>
          <w:numId w:val="2"/>
        </w:numPr>
        <w:ind w:firstLineChars="0"/>
        <w:rPr>
          <w:sz w:val="30"/>
          <w:szCs w:val="30"/>
        </w:rPr>
      </w:pPr>
      <w:r>
        <w:rPr>
          <w:rFonts w:hint="eastAsia"/>
          <w:sz w:val="30"/>
          <w:szCs w:val="30"/>
        </w:rPr>
        <w:t>代理人身份证明</w:t>
      </w:r>
    </w:p>
    <w:p>
      <w:pPr>
        <w:pStyle w:val="14"/>
        <w:numPr>
          <w:ilvl w:val="0"/>
          <w:numId w:val="2"/>
        </w:numPr>
        <w:ind w:firstLineChars="0"/>
        <w:rPr>
          <w:sz w:val="30"/>
          <w:szCs w:val="30"/>
        </w:rPr>
      </w:pPr>
      <w:r>
        <w:rPr>
          <w:rFonts w:hint="eastAsia"/>
          <w:sz w:val="30"/>
          <w:szCs w:val="30"/>
        </w:rPr>
        <w:t>报价函</w:t>
      </w:r>
    </w:p>
    <w:p>
      <w:pPr>
        <w:pStyle w:val="14"/>
        <w:numPr>
          <w:ilvl w:val="0"/>
          <w:numId w:val="2"/>
        </w:numPr>
        <w:ind w:firstLineChars="0"/>
        <w:rPr>
          <w:sz w:val="30"/>
          <w:szCs w:val="30"/>
        </w:rPr>
      </w:pPr>
      <w:r>
        <w:rPr>
          <w:rFonts w:hint="eastAsia"/>
          <w:sz w:val="30"/>
          <w:szCs w:val="30"/>
        </w:rPr>
        <w:t>技术参数响应表（标注偏离情况）</w:t>
      </w:r>
    </w:p>
    <w:p>
      <w:pPr>
        <w:pStyle w:val="14"/>
        <w:numPr>
          <w:ilvl w:val="0"/>
          <w:numId w:val="2"/>
        </w:numPr>
        <w:ind w:firstLineChars="0"/>
        <w:rPr>
          <w:sz w:val="30"/>
          <w:szCs w:val="30"/>
        </w:rPr>
      </w:pPr>
      <w:r>
        <w:rPr>
          <w:rFonts w:hint="eastAsia"/>
          <w:sz w:val="30"/>
          <w:szCs w:val="30"/>
        </w:rPr>
        <w:t>公司需要说明的其他内容</w:t>
      </w:r>
    </w:p>
    <w:p>
      <w:pPr>
        <w:rPr>
          <w:sz w:val="30"/>
          <w:szCs w:val="30"/>
        </w:rPr>
      </w:pPr>
    </w:p>
    <w:p>
      <w:pPr>
        <w:spacing w:line="360" w:lineRule="auto"/>
        <w:rPr>
          <w:rFonts w:ascii="华文中宋" w:hAnsi="华文中宋" w:eastAsia="华文中宋"/>
          <w:b/>
          <w:sz w:val="32"/>
          <w:szCs w:val="32"/>
        </w:rPr>
      </w:pPr>
      <w:r>
        <w:rPr>
          <w:rFonts w:hint="eastAsia"/>
          <w:sz w:val="30"/>
          <w:szCs w:val="30"/>
        </w:rPr>
        <w:t>比选文件一正一副，必须有目录</w:t>
      </w: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方正仿宋_GBK">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560"/>
      <w:jc w:val="both"/>
      <w:rPr>
        <w:rFonts w:ascii="宋体" w:hAnsi="宋体"/>
        <w:sz w:val="28"/>
        <w:szCs w:val="28"/>
      </w:rPr>
    </w:pPr>
    <w:r>
      <w:rPr>
        <w:rFonts w:hint="eastAsia" w:ascii="宋体" w:hAnsi="宋体"/>
        <w:sz w:val="28"/>
        <w:szCs w:val="28"/>
      </w:rPr>
      <w:t>—4—</w:t>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280452"/>
    </w:sdtPr>
    <w:sdtContent>
      <w:p>
        <w:pPr>
          <w:pStyle w:val="5"/>
          <w:jc w:val="right"/>
        </w:pPr>
        <w:r>
          <w:fldChar w:fldCharType="begin"/>
        </w:r>
        <w:r>
          <w:instrText xml:space="preserve"> PAGE   \* MERGEFORMAT </w:instrText>
        </w:r>
        <w:r>
          <w:fldChar w:fldCharType="separate"/>
        </w:r>
        <w:r>
          <w:rPr>
            <w:lang w:val="zh-CN"/>
          </w:rPr>
          <w:t>3</w:t>
        </w:r>
        <w:r>
          <w:rPr>
            <w:lang w:val="zh-CN"/>
          </w:rPr>
          <w:fldChar w:fldCharType="end"/>
        </w:r>
      </w:p>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886DFD"/>
    <w:multiLevelType w:val="multilevel"/>
    <w:tmpl w:val="31886DFD"/>
    <w:lvl w:ilvl="0" w:tentative="0">
      <w:start w:val="1"/>
      <w:numFmt w:val="decimal"/>
      <w:lvlText w:val="%1）"/>
      <w:lvlJc w:val="left"/>
      <w:pPr>
        <w:ind w:left="720" w:hanging="360"/>
      </w:pPr>
      <w:rPr>
        <w:rFonts w:hint="eastAsia"/>
      </w:rPr>
    </w:lvl>
    <w:lvl w:ilvl="1" w:tentative="0">
      <w:start w:val="1"/>
      <w:numFmt w:val="lowerLetter"/>
      <w:lvlText w:val="%2)"/>
      <w:lvlJc w:val="left"/>
      <w:pPr>
        <w:ind w:left="1320" w:hanging="480"/>
      </w:pPr>
    </w:lvl>
    <w:lvl w:ilvl="2" w:tentative="0">
      <w:start w:val="1"/>
      <w:numFmt w:val="lowerRoman"/>
      <w:lvlText w:val="%3."/>
      <w:lvlJc w:val="right"/>
      <w:pPr>
        <w:ind w:left="1800" w:hanging="480"/>
      </w:pPr>
    </w:lvl>
    <w:lvl w:ilvl="3" w:tentative="0">
      <w:start w:val="1"/>
      <w:numFmt w:val="decimal"/>
      <w:lvlText w:val="%4."/>
      <w:lvlJc w:val="left"/>
      <w:pPr>
        <w:ind w:left="2280" w:hanging="480"/>
      </w:pPr>
    </w:lvl>
    <w:lvl w:ilvl="4" w:tentative="0">
      <w:start w:val="1"/>
      <w:numFmt w:val="lowerLetter"/>
      <w:lvlText w:val="%5)"/>
      <w:lvlJc w:val="left"/>
      <w:pPr>
        <w:ind w:left="2760" w:hanging="480"/>
      </w:pPr>
    </w:lvl>
    <w:lvl w:ilvl="5" w:tentative="0">
      <w:start w:val="1"/>
      <w:numFmt w:val="lowerRoman"/>
      <w:lvlText w:val="%6."/>
      <w:lvlJc w:val="right"/>
      <w:pPr>
        <w:ind w:left="3240" w:hanging="480"/>
      </w:pPr>
    </w:lvl>
    <w:lvl w:ilvl="6" w:tentative="0">
      <w:start w:val="1"/>
      <w:numFmt w:val="decimal"/>
      <w:lvlText w:val="%7."/>
      <w:lvlJc w:val="left"/>
      <w:pPr>
        <w:ind w:left="3720" w:hanging="480"/>
      </w:pPr>
    </w:lvl>
    <w:lvl w:ilvl="7" w:tentative="0">
      <w:start w:val="1"/>
      <w:numFmt w:val="lowerLetter"/>
      <w:lvlText w:val="%8)"/>
      <w:lvlJc w:val="left"/>
      <w:pPr>
        <w:ind w:left="4200" w:hanging="480"/>
      </w:pPr>
    </w:lvl>
    <w:lvl w:ilvl="8" w:tentative="0">
      <w:start w:val="1"/>
      <w:numFmt w:val="lowerRoman"/>
      <w:lvlText w:val="%9."/>
      <w:lvlJc w:val="right"/>
      <w:pPr>
        <w:ind w:left="4680" w:hanging="480"/>
      </w:pPr>
    </w:lvl>
  </w:abstractNum>
  <w:abstractNum w:abstractNumId="1">
    <w:nsid w:val="7C6871F3"/>
    <w:multiLevelType w:val="multilevel"/>
    <w:tmpl w:val="7C6871F3"/>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22E45"/>
    <w:rsid w:val="00001114"/>
    <w:rsid w:val="00001C3B"/>
    <w:rsid w:val="00005D34"/>
    <w:rsid w:val="000410A6"/>
    <w:rsid w:val="00050ED4"/>
    <w:rsid w:val="00051D2B"/>
    <w:rsid w:val="00066D27"/>
    <w:rsid w:val="00074390"/>
    <w:rsid w:val="000955D7"/>
    <w:rsid w:val="000C1105"/>
    <w:rsid w:val="000D2646"/>
    <w:rsid w:val="00112B47"/>
    <w:rsid w:val="00113045"/>
    <w:rsid w:val="00192D51"/>
    <w:rsid w:val="001A7950"/>
    <w:rsid w:val="001B3AAF"/>
    <w:rsid w:val="001F23DD"/>
    <w:rsid w:val="0020468A"/>
    <w:rsid w:val="00213504"/>
    <w:rsid w:val="002408FC"/>
    <w:rsid w:val="002554A9"/>
    <w:rsid w:val="0025732E"/>
    <w:rsid w:val="00283F95"/>
    <w:rsid w:val="002907C5"/>
    <w:rsid w:val="002E2361"/>
    <w:rsid w:val="002E2DA8"/>
    <w:rsid w:val="002E6E39"/>
    <w:rsid w:val="0031681B"/>
    <w:rsid w:val="003228B1"/>
    <w:rsid w:val="00347EC8"/>
    <w:rsid w:val="003A70FA"/>
    <w:rsid w:val="003C4A89"/>
    <w:rsid w:val="003E7865"/>
    <w:rsid w:val="003F606A"/>
    <w:rsid w:val="00403BD4"/>
    <w:rsid w:val="004078E4"/>
    <w:rsid w:val="004228CC"/>
    <w:rsid w:val="00430CEE"/>
    <w:rsid w:val="0047555D"/>
    <w:rsid w:val="00495055"/>
    <w:rsid w:val="004A0936"/>
    <w:rsid w:val="004A6404"/>
    <w:rsid w:val="004E2FA8"/>
    <w:rsid w:val="004F483F"/>
    <w:rsid w:val="004F73FC"/>
    <w:rsid w:val="005039E6"/>
    <w:rsid w:val="0052389F"/>
    <w:rsid w:val="00541AF2"/>
    <w:rsid w:val="00541CCA"/>
    <w:rsid w:val="0054380C"/>
    <w:rsid w:val="00545871"/>
    <w:rsid w:val="00580A53"/>
    <w:rsid w:val="00587375"/>
    <w:rsid w:val="005A530B"/>
    <w:rsid w:val="005D51A2"/>
    <w:rsid w:val="00614CB0"/>
    <w:rsid w:val="00636BC4"/>
    <w:rsid w:val="006473E7"/>
    <w:rsid w:val="00674952"/>
    <w:rsid w:val="006762B3"/>
    <w:rsid w:val="00677CB1"/>
    <w:rsid w:val="00697A28"/>
    <w:rsid w:val="006A4403"/>
    <w:rsid w:val="006A49D1"/>
    <w:rsid w:val="006B47F8"/>
    <w:rsid w:val="006B66D9"/>
    <w:rsid w:val="006C0796"/>
    <w:rsid w:val="006D397F"/>
    <w:rsid w:val="006D6260"/>
    <w:rsid w:val="006F1148"/>
    <w:rsid w:val="006F1471"/>
    <w:rsid w:val="00700068"/>
    <w:rsid w:val="00702103"/>
    <w:rsid w:val="007F3F42"/>
    <w:rsid w:val="00810144"/>
    <w:rsid w:val="00823E53"/>
    <w:rsid w:val="00837BCE"/>
    <w:rsid w:val="008655CC"/>
    <w:rsid w:val="008A68CD"/>
    <w:rsid w:val="008B08A0"/>
    <w:rsid w:val="008C0943"/>
    <w:rsid w:val="008C7F30"/>
    <w:rsid w:val="008D2663"/>
    <w:rsid w:val="008F126A"/>
    <w:rsid w:val="008F6197"/>
    <w:rsid w:val="00914264"/>
    <w:rsid w:val="00956016"/>
    <w:rsid w:val="009C1FC5"/>
    <w:rsid w:val="009C55DC"/>
    <w:rsid w:val="00A56023"/>
    <w:rsid w:val="00A90013"/>
    <w:rsid w:val="00A91080"/>
    <w:rsid w:val="00AC4080"/>
    <w:rsid w:val="00AD7793"/>
    <w:rsid w:val="00B0488C"/>
    <w:rsid w:val="00B11E88"/>
    <w:rsid w:val="00B12D10"/>
    <w:rsid w:val="00B140BC"/>
    <w:rsid w:val="00B16835"/>
    <w:rsid w:val="00B21A3D"/>
    <w:rsid w:val="00B22FB3"/>
    <w:rsid w:val="00B428D6"/>
    <w:rsid w:val="00B52DAF"/>
    <w:rsid w:val="00B6313B"/>
    <w:rsid w:val="00B86E23"/>
    <w:rsid w:val="00B918E9"/>
    <w:rsid w:val="00BE40F8"/>
    <w:rsid w:val="00C04E23"/>
    <w:rsid w:val="00C16401"/>
    <w:rsid w:val="00C22F6A"/>
    <w:rsid w:val="00C65737"/>
    <w:rsid w:val="00C717D3"/>
    <w:rsid w:val="00C71D2D"/>
    <w:rsid w:val="00C72768"/>
    <w:rsid w:val="00CD2F36"/>
    <w:rsid w:val="00CD7356"/>
    <w:rsid w:val="00CE62E8"/>
    <w:rsid w:val="00D23E2A"/>
    <w:rsid w:val="00D84C1E"/>
    <w:rsid w:val="00D8582B"/>
    <w:rsid w:val="00D915EF"/>
    <w:rsid w:val="00DB5B8A"/>
    <w:rsid w:val="00DC1072"/>
    <w:rsid w:val="00DD0717"/>
    <w:rsid w:val="00E02AE4"/>
    <w:rsid w:val="00E22E45"/>
    <w:rsid w:val="00E23AE4"/>
    <w:rsid w:val="00E24F50"/>
    <w:rsid w:val="00E92CCE"/>
    <w:rsid w:val="00EB73D2"/>
    <w:rsid w:val="00EE732C"/>
    <w:rsid w:val="00F127B5"/>
    <w:rsid w:val="00F30A99"/>
    <w:rsid w:val="00F54FEB"/>
    <w:rsid w:val="00F56E20"/>
    <w:rsid w:val="00F64198"/>
    <w:rsid w:val="00F7479E"/>
    <w:rsid w:val="00F91F4A"/>
    <w:rsid w:val="00FE7076"/>
    <w:rsid w:val="01EE0DCD"/>
    <w:rsid w:val="02554973"/>
    <w:rsid w:val="0DC61272"/>
    <w:rsid w:val="187A721D"/>
    <w:rsid w:val="2B796EBE"/>
    <w:rsid w:val="332B5D3D"/>
    <w:rsid w:val="36C61B63"/>
    <w:rsid w:val="38520016"/>
    <w:rsid w:val="3DBC3894"/>
    <w:rsid w:val="41A96123"/>
    <w:rsid w:val="4BBE6CC9"/>
    <w:rsid w:val="5074152A"/>
    <w:rsid w:val="5A00477A"/>
    <w:rsid w:val="627D77E8"/>
    <w:rsid w:val="6A7A7481"/>
    <w:rsid w:val="6D2E63E4"/>
    <w:rsid w:val="6FB857E9"/>
    <w:rsid w:val="74324B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5"/>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8"/>
    <w:semiHidden/>
    <w:unhideWhenUsed/>
    <w:qFormat/>
    <w:uiPriority w:val="99"/>
    <w:pPr>
      <w:ind w:left="100" w:leftChars="2500"/>
    </w:pPr>
  </w:style>
  <w:style w:type="paragraph" w:styleId="4">
    <w:name w:val="Balloon Text"/>
    <w:basedOn w:val="1"/>
    <w:link w:val="19"/>
    <w:semiHidden/>
    <w:unhideWhenUsed/>
    <w:qFormat/>
    <w:uiPriority w:val="99"/>
    <w:rPr>
      <w:sz w:val="18"/>
      <w:szCs w:val="18"/>
    </w:rPr>
  </w:style>
  <w:style w:type="paragraph" w:styleId="5">
    <w:name w:val="footer"/>
    <w:basedOn w:val="1"/>
    <w:link w:val="13"/>
    <w:unhideWhenUsed/>
    <w:qFormat/>
    <w:uiPriority w:val="0"/>
    <w:pPr>
      <w:tabs>
        <w:tab w:val="center" w:pos="4153"/>
        <w:tab w:val="right" w:pos="8306"/>
      </w:tabs>
      <w:snapToGrid w:val="0"/>
      <w:jc w:val="left"/>
    </w:pPr>
    <w:rPr>
      <w:sz w:val="18"/>
      <w:szCs w:val="18"/>
    </w:rPr>
  </w:style>
  <w:style w:type="paragraph" w:styleId="6">
    <w:name w:val="header"/>
    <w:basedOn w:val="1"/>
    <w:link w:val="20"/>
    <w:unhideWhenUsed/>
    <w:qFormat/>
    <w:uiPriority w:val="0"/>
    <w:pPr>
      <w:pBdr>
        <w:bottom w:val="single" w:color="auto" w:sz="6" w:space="1"/>
      </w:pBdr>
      <w:tabs>
        <w:tab w:val="center" w:pos="4153"/>
        <w:tab w:val="right" w:pos="8306"/>
      </w:tabs>
      <w:snapToGrid w:val="0"/>
      <w:jc w:val="center"/>
    </w:pPr>
    <w:rPr>
      <w:sz w:val="18"/>
      <w:szCs w:val="18"/>
    </w:rPr>
  </w:style>
  <w:style w:type="paragraph" w:styleId="7">
    <w:name w:val="toc 1"/>
    <w:basedOn w:val="1"/>
    <w:next w:val="1"/>
    <w:qFormat/>
    <w:uiPriority w:val="39"/>
    <w:pPr>
      <w:spacing w:after="160" w:line="259" w:lineRule="auto"/>
    </w:pPr>
    <w:rPr>
      <w:rFonts w:ascii="Calibri" w:hAnsi="Calibri" w:eastAsia="宋体" w:cs="Times New Roman"/>
      <w:szCs w:val="24"/>
    </w:rPr>
  </w:style>
  <w:style w:type="table" w:styleId="9">
    <w:name w:val="Table Grid"/>
    <w:basedOn w:val="8"/>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1">
    <w:name w:val="page number"/>
    <w:qFormat/>
    <w:uiPriority w:val="0"/>
  </w:style>
  <w:style w:type="character" w:styleId="12">
    <w:name w:val="Hyperlink"/>
    <w:basedOn w:val="10"/>
    <w:unhideWhenUsed/>
    <w:qFormat/>
    <w:uiPriority w:val="99"/>
    <w:rPr>
      <w:color w:val="0000FF" w:themeColor="hyperlink"/>
      <w:u w:val="single"/>
    </w:rPr>
  </w:style>
  <w:style w:type="character" w:customStyle="1" w:styleId="13">
    <w:name w:val="页脚 Char"/>
    <w:basedOn w:val="10"/>
    <w:link w:val="5"/>
    <w:qFormat/>
    <w:uiPriority w:val="99"/>
    <w:rPr>
      <w:sz w:val="18"/>
      <w:szCs w:val="18"/>
    </w:rPr>
  </w:style>
  <w:style w:type="paragraph" w:styleId="14">
    <w:name w:val="List Paragraph"/>
    <w:basedOn w:val="1"/>
    <w:qFormat/>
    <w:uiPriority w:val="34"/>
    <w:pPr>
      <w:ind w:firstLine="420" w:firstLineChars="200"/>
    </w:pPr>
  </w:style>
  <w:style w:type="character" w:customStyle="1" w:styleId="15">
    <w:name w:val="标题 2 Char"/>
    <w:basedOn w:val="10"/>
    <w:link w:val="2"/>
    <w:qFormat/>
    <w:uiPriority w:val="9"/>
    <w:rPr>
      <w:rFonts w:ascii="Arial" w:hAnsi="Arial" w:eastAsia="黑体" w:cs="Times New Roman"/>
      <w:b/>
      <w:bCs/>
      <w:sz w:val="32"/>
      <w:szCs w:val="32"/>
    </w:rPr>
  </w:style>
  <w:style w:type="character" w:customStyle="1" w:styleId="16">
    <w:name w:val="列出段落 Char"/>
    <w:link w:val="17"/>
    <w:qFormat/>
    <w:uiPriority w:val="34"/>
    <w:rPr>
      <w:rFonts w:ascii="宋体" w:hAnsi="宋体" w:cs="宋体"/>
      <w:sz w:val="24"/>
      <w:szCs w:val="24"/>
    </w:rPr>
  </w:style>
  <w:style w:type="paragraph" w:customStyle="1" w:styleId="17">
    <w:name w:val="列出段落1"/>
    <w:basedOn w:val="1"/>
    <w:link w:val="16"/>
    <w:qFormat/>
    <w:uiPriority w:val="34"/>
    <w:pPr>
      <w:widowControl/>
      <w:ind w:firstLine="420" w:firstLineChars="200"/>
      <w:jc w:val="left"/>
    </w:pPr>
    <w:rPr>
      <w:rFonts w:ascii="宋体" w:hAnsi="宋体" w:cs="宋体"/>
      <w:sz w:val="24"/>
      <w:szCs w:val="24"/>
    </w:rPr>
  </w:style>
  <w:style w:type="character" w:customStyle="1" w:styleId="18">
    <w:name w:val="日期 Char"/>
    <w:basedOn w:val="10"/>
    <w:link w:val="3"/>
    <w:semiHidden/>
    <w:qFormat/>
    <w:uiPriority w:val="99"/>
  </w:style>
  <w:style w:type="character" w:customStyle="1" w:styleId="19">
    <w:name w:val="批注框文本 Char"/>
    <w:basedOn w:val="10"/>
    <w:link w:val="4"/>
    <w:semiHidden/>
    <w:qFormat/>
    <w:uiPriority w:val="99"/>
    <w:rPr>
      <w:sz w:val="18"/>
      <w:szCs w:val="18"/>
    </w:rPr>
  </w:style>
  <w:style w:type="character" w:customStyle="1" w:styleId="20">
    <w:name w:val="页眉 Char"/>
    <w:basedOn w:val="10"/>
    <w:link w:val="6"/>
    <w:qFormat/>
    <w:uiPriority w:val="99"/>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442</Words>
  <Characters>2525</Characters>
  <Lines>21</Lines>
  <Paragraphs>5</Paragraphs>
  <TotalTime>3</TotalTime>
  <ScaleCrop>false</ScaleCrop>
  <LinksUpToDate>false</LinksUpToDate>
  <CharactersWithSpaces>2962</CharactersWithSpaces>
  <Application>WPS Office_11.1.0.10011_F1E327BC-269C-435d-A152-05C5408002CA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2019-01-04T06:50:00Z</dcterms:created>
  <dc:creator>HOUQING</dc:creator>
  <cp:lastModifiedBy>苟娟娟nice.cium</cp:lastModifiedBy>
  <cp:lastPrinted>2020-11-13T03:49:13Z</cp:lastPrinted>
  <dcterms:modified xsi:type="dcterms:W3CDTF">2020-11-13T07:01:27Z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2052-11.1.0.10011</vt:lpwstr>
  </property>
</Properties>
</file>