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1"/>
        <w:tblpPr w:leftFromText="180" w:rightFromText="180" w:vertAnchor="text" w:tblpX="-321" w:tblpY="1"/>
        <w:tblOverlap w:val="never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18"/>
        <w:gridCol w:w="696"/>
        <w:gridCol w:w="5059"/>
        <w:gridCol w:w="772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及权重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ind w:firstLine="28"/>
              <w:jc w:val="both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分值</w:t>
            </w:r>
          </w:p>
        </w:tc>
        <w:tc>
          <w:tcPr>
            <w:tcW w:w="5059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评分标准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备注</w:t>
            </w: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报价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%*100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技术、服务要求50%（主要评分因素）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50分</w:t>
            </w:r>
          </w:p>
        </w:tc>
        <w:tc>
          <w:tcPr>
            <w:tcW w:w="5059" w:type="dxa"/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技术参数条款响应得分=（投标人满足技术参数条款的数量÷对应包件中技术参数条款的总数量）×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分。</w:t>
            </w:r>
          </w:p>
          <w:p>
            <w:pPr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一般技术参数条款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44条。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3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商务要求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商务要求响应得分=投标人满足商务要求条款的数量÷商务要求条款的总数量）×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商务要求</w:t>
            </w:r>
            <w:r>
              <w:rPr>
                <w:rFonts w:ascii="仿宋" w:hAnsi="仿宋" w:eastAsia="仿宋"/>
                <w:szCs w:val="21"/>
                <w:highlight w:val="none"/>
              </w:rPr>
              <w:t>条款总数量：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ascii="仿宋" w:hAnsi="仿宋" w:eastAsia="仿宋"/>
                <w:szCs w:val="21"/>
                <w:highlight w:val="none"/>
              </w:rPr>
              <w:t>条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4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售后服务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  <w:highlight w:val="none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针对本项目提供的售后服务方案，包括但不限于①售后服务流程②应急预案③质量保障方案</w:t>
            </w:r>
            <w:r>
              <w:rPr>
                <w:rFonts w:ascii="仿宋" w:hAnsi="仿宋" w:eastAsia="仿宋"/>
                <w:szCs w:val="21"/>
                <w:highlight w:val="none"/>
              </w:rPr>
              <w:t>④培训方案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，每有一处漏项（共</w:t>
            </w:r>
            <w:r>
              <w:rPr>
                <w:rFonts w:ascii="仿宋" w:hAnsi="仿宋" w:eastAsia="仿宋"/>
                <w:szCs w:val="21"/>
                <w:highlight w:val="none"/>
              </w:rPr>
              <w:t>4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项）、缺陷或不合理（缺陷和不合理是指存在不适用项目实际情况的情形、凭空编造、逻辑漏洞、前后不一致及不可能实现的夸大情形等</w:t>
            </w:r>
            <w:r>
              <w:rPr>
                <w:rFonts w:ascii="仿宋" w:hAnsi="仿宋" w:eastAsia="仿宋"/>
                <w:szCs w:val="21"/>
                <w:highlight w:val="none"/>
              </w:rPr>
              <w:t>)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的扣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2.5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分，本项最多扣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。</w:t>
            </w:r>
          </w:p>
        </w:tc>
        <w:tc>
          <w:tcPr>
            <w:tcW w:w="77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46C08ED"/>
    <w:rsid w:val="0DC61272"/>
    <w:rsid w:val="1C985A0D"/>
    <w:rsid w:val="2B796EBE"/>
    <w:rsid w:val="300817D1"/>
    <w:rsid w:val="332B5D3D"/>
    <w:rsid w:val="38520016"/>
    <w:rsid w:val="3D5529A7"/>
    <w:rsid w:val="3DBC3894"/>
    <w:rsid w:val="4962387D"/>
    <w:rsid w:val="4BBE6CC9"/>
    <w:rsid w:val="5074152A"/>
    <w:rsid w:val="57CC719B"/>
    <w:rsid w:val="580C5456"/>
    <w:rsid w:val="5A00477A"/>
    <w:rsid w:val="627D77E8"/>
    <w:rsid w:val="6A7A7481"/>
    <w:rsid w:val="74324BCE"/>
    <w:rsid w:val="7B24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19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2 Char"/>
    <w:basedOn w:val="13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列出段落 Char"/>
    <w:link w:val="21"/>
    <w:qFormat/>
    <w:uiPriority w:val="34"/>
    <w:rPr>
      <w:rFonts w:ascii="宋体" w:hAnsi="宋体" w:cs="宋体"/>
      <w:sz w:val="24"/>
      <w:szCs w:val="24"/>
    </w:rPr>
  </w:style>
  <w:style w:type="paragraph" w:customStyle="1" w:styleId="21">
    <w:name w:val="列出段落1"/>
    <w:basedOn w:val="1"/>
    <w:link w:val="20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2">
    <w:name w:val="日期 Char"/>
    <w:basedOn w:val="13"/>
    <w:link w:val="3"/>
    <w:semiHidden/>
    <w:qFormat/>
    <w:uiPriority w:val="99"/>
  </w:style>
  <w:style w:type="character" w:customStyle="1" w:styleId="23">
    <w:name w:val="批注框文本 Char"/>
    <w:basedOn w:val="13"/>
    <w:link w:val="7"/>
    <w:semiHidden/>
    <w:qFormat/>
    <w:uiPriority w:val="99"/>
    <w:rPr>
      <w:sz w:val="18"/>
      <w:szCs w:val="18"/>
    </w:rPr>
  </w:style>
  <w:style w:type="character" w:customStyle="1" w:styleId="24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3992</Words>
  <Characters>4378</Characters>
  <Lines>14</Lines>
  <Paragraphs>4</Paragraphs>
  <TotalTime>70</TotalTime>
  <ScaleCrop>false</ScaleCrop>
  <LinksUpToDate>false</LinksUpToDate>
  <CharactersWithSpaces>4483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2022-07-01T04:58:38Z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