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b/>
          <w:sz w:val="32"/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附件三：综合评分明细表</w:t>
      </w:r>
    </w:p>
    <w:tbl>
      <w:tblPr>
        <w:tblStyle w:val="1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序号</w:t>
            </w: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及权重</w:t>
            </w:r>
          </w:p>
        </w:tc>
        <w:tc>
          <w:tcPr>
            <w:tcW w:w="561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分　值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评分标准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</w:t>
            </w: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报价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%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（主要评分因素）</w:t>
            </w:r>
          </w:p>
        </w:tc>
        <w:tc>
          <w:tcPr>
            <w:tcW w:w="561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满足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</w:rPr>
              <w:t>文件要求且响应价格最低的响应报价为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</w:rPr>
              <w:t>基准价，其价格分为满分。其他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2"/>
              </w:rPr>
              <w:t>的价格分统一按照下列公式计算：磋商报价得分=(磋商基准价／最后磋商报价)*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%*100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</w:t>
            </w:r>
          </w:p>
        </w:tc>
        <w:tc>
          <w:tcPr>
            <w:tcW w:w="1427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技术服务要求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54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%（主要评分因素）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54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1、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2"/>
              </w:rPr>
              <w:t>针对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</w:rPr>
              <w:t>文件技术服务要求中一般技术参数条款的响应得分规则如下：（一般技术参数条款指未标注 “★”或“*”的条款）</w:t>
            </w:r>
          </w:p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一般技术参数条款响应得分=（投标人满足一般技术参数条款的数量÷一般技术参数条款的总数量）×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sz w:val="22"/>
              </w:rPr>
              <w:t>分。（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共64条，</w:t>
            </w:r>
            <w:r>
              <w:rPr>
                <w:rFonts w:hint="eastAsia" w:ascii="仿宋" w:hAnsi="仿宋" w:eastAsia="仿宋" w:cs="仿宋"/>
                <w:sz w:val="22"/>
              </w:rPr>
              <w:t>保留至小数点后2位）</w:t>
            </w:r>
          </w:p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2、投标人针对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</w:rPr>
              <w:t>文件“★”技术参数条款的响应得分规则如下：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“★”技术参数条款响应得分=（投标人满足“★”技术参数条款的数量÷“★”技术参数条款的总数量）×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2"/>
              </w:rPr>
              <w:t>分。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共5条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）</w:t>
            </w:r>
          </w:p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注：</w:t>
            </w:r>
          </w:p>
          <w:p>
            <w:pPr>
              <w:pStyle w:val="2"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①若★条款要求提供技术支撑材料或承诺函，不提供或提供的材料不足以佐证则该条款作为无效响应。</w:t>
            </w:r>
          </w:p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②针对一般条款的技术响应，如果磋商文件第五章“技术服务要求”中技术参数条款对技术支撑材料有要求，应按要求提供，否则对应技术参数条款将视为不满足。</w:t>
            </w:r>
          </w:p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③*号条款为实质性要求，不参与本项评分。以一级序号阿拉伯数字（如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3</w:t>
            </w:r>
          </w:p>
        </w:tc>
        <w:tc>
          <w:tcPr>
            <w:tcW w:w="1427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业绩10%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10分</w:t>
            </w:r>
          </w:p>
        </w:tc>
        <w:tc>
          <w:tcPr>
            <w:tcW w:w="5323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评审委员会根据供应商提供的类似项目业绩（2019年1月1月至磋商截止日（以合同签订日期为准）进行评定，每提供一个业绩得2分，最多得10分。</w:t>
            </w:r>
          </w:p>
          <w:p>
            <w:pPr>
              <w:pStyle w:val="2"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注：提供合同关键页（关键页至少包含首页、签字页、合同服务内容）扫描件或中标/成交通知书复印件</w:t>
            </w:r>
          </w:p>
        </w:tc>
        <w:tc>
          <w:tcPr>
            <w:tcW w:w="930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4</w:t>
            </w:r>
          </w:p>
        </w:tc>
        <w:tc>
          <w:tcPr>
            <w:tcW w:w="1427" w:type="dxa"/>
            <w:vAlign w:val="center"/>
          </w:tcPr>
          <w:p>
            <w:pPr>
              <w:rPr>
                <w:rFonts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系统设计总体方案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%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根据供应商对本项目提供的系统设计总体方案进行评审，方案内容包括：①架构搭建、②项目组织管理方案、③、实施流程、④人员安排、⑤进度保障，得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分，每有一项内容缺失扣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分，扣完为止。以上每一项中每有 1 处存在内容缺陷或不合理的扣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分【内容缺陷或不合理是指：存在不适用项目实际情况的情形（与项目实际不匹配、不符合项目特点）、内容不完整不明确、不具备针对性可操作性、逻辑漏洞、前后不一致以及不可能实现的夸大情形等】。</w:t>
            </w:r>
          </w:p>
        </w:tc>
        <w:tc>
          <w:tcPr>
            <w:tcW w:w="930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5</w:t>
            </w:r>
          </w:p>
        </w:tc>
        <w:tc>
          <w:tcPr>
            <w:tcW w:w="1427" w:type="dxa"/>
            <w:vAlign w:val="center"/>
          </w:tcPr>
          <w:p>
            <w:pPr>
              <w:rPr>
                <w:rFonts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售后服务方案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%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</w:t>
            </w:r>
          </w:p>
        </w:tc>
        <w:tc>
          <w:tcPr>
            <w:tcW w:w="5323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根据供应商对本项目提供的售后服务方案进行评审，方案内容包括：①售后服务工作流程、②质量保障措施、③、系统维护方案，得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分，每有一项内容缺失扣2分，扣完为止。以上每一项中每有 1 处存在内容缺陷或不合理的扣</w:t>
            </w:r>
            <w:r>
              <w:rPr>
                <w:rFonts w:hint="eastAsia" w:ascii="仿宋" w:hAnsi="仿宋" w:eastAsia="仿宋" w:cs="仿宋"/>
                <w:sz w:val="22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分【内容缺陷或不合理是指：存在不适用项目实际情况的情形（与项目实际不匹配、不符合项目特点）、内容不完整不明确、不具备针对性可操作性、逻辑漏洞、前后不一致以及不可能实现的夸大情形等】，扣完为止。</w:t>
            </w:r>
          </w:p>
        </w:tc>
        <w:tc>
          <w:tcPr>
            <w:tcW w:w="930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</w:p>
        </w:tc>
      </w:tr>
    </w:tbl>
    <w:p>
      <w:pPr>
        <w:pStyle w:val="2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903CB"/>
    <w:rsid w:val="000D2646"/>
    <w:rsid w:val="00112B47"/>
    <w:rsid w:val="00113045"/>
    <w:rsid w:val="00117797"/>
    <w:rsid w:val="00192D51"/>
    <w:rsid w:val="001A7950"/>
    <w:rsid w:val="001B3AAF"/>
    <w:rsid w:val="0020468A"/>
    <w:rsid w:val="00213504"/>
    <w:rsid w:val="00222C36"/>
    <w:rsid w:val="002408FC"/>
    <w:rsid w:val="002554A9"/>
    <w:rsid w:val="0025732E"/>
    <w:rsid w:val="00283F95"/>
    <w:rsid w:val="002907C5"/>
    <w:rsid w:val="002D1608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8486D"/>
    <w:rsid w:val="005D51A2"/>
    <w:rsid w:val="005F2C16"/>
    <w:rsid w:val="00614CB0"/>
    <w:rsid w:val="00621ECC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03097"/>
    <w:rsid w:val="00A56023"/>
    <w:rsid w:val="00A73160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36BD2"/>
    <w:rsid w:val="00B52DAF"/>
    <w:rsid w:val="00B6313B"/>
    <w:rsid w:val="00B86E23"/>
    <w:rsid w:val="00B97A87"/>
    <w:rsid w:val="00BD0E52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02919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7BF2256"/>
    <w:rsid w:val="0A1838D4"/>
    <w:rsid w:val="0DC61272"/>
    <w:rsid w:val="145A3528"/>
    <w:rsid w:val="1C985A0D"/>
    <w:rsid w:val="228646FE"/>
    <w:rsid w:val="2B796EBE"/>
    <w:rsid w:val="300817D1"/>
    <w:rsid w:val="31047F0B"/>
    <w:rsid w:val="332B5D3D"/>
    <w:rsid w:val="38520016"/>
    <w:rsid w:val="3D5529A7"/>
    <w:rsid w:val="3DBC3894"/>
    <w:rsid w:val="3E960D7F"/>
    <w:rsid w:val="4962387D"/>
    <w:rsid w:val="4BBE6CC9"/>
    <w:rsid w:val="5074152A"/>
    <w:rsid w:val="57CC719B"/>
    <w:rsid w:val="5A00477A"/>
    <w:rsid w:val="627D77E8"/>
    <w:rsid w:val="6A7A7481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6298</Words>
  <Characters>6795</Characters>
  <Lines>52</Lines>
  <Paragraphs>14</Paragraphs>
  <TotalTime>41</TotalTime>
  <ScaleCrop>false</ScaleCrop>
  <LinksUpToDate>false</LinksUpToDate>
  <CharactersWithSpaces>6912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2022-07-01T02:58:03Z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