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华文中宋" w:hAnsi="华文中宋" w:eastAsia="华文中宋"/>
          <w:b/>
          <w:sz w:val="32"/>
          <w:szCs w:val="22"/>
        </w:rPr>
      </w:pPr>
      <w:bookmarkStart w:id="2" w:name="_GoBack"/>
      <w:bookmarkEnd w:id="2"/>
      <w:bookmarkStart w:id="0" w:name="_Hlt101233737"/>
      <w:bookmarkEnd w:id="0"/>
      <w:bookmarkStart w:id="1" w:name="_Hlt101843627"/>
      <w:bookmarkEnd w:id="1"/>
      <w:r>
        <w:rPr>
          <w:rFonts w:hint="eastAsia" w:ascii="华文中宋" w:hAnsi="华文中宋" w:eastAsia="华文中宋"/>
          <w:b/>
          <w:sz w:val="32"/>
          <w:lang w:val="en-US" w:eastAsia="zh-CN"/>
        </w:rPr>
        <w:t>附件三：</w:t>
      </w:r>
      <w:r>
        <w:rPr>
          <w:rFonts w:hint="eastAsia" w:ascii="华文中宋" w:hAnsi="华文中宋" w:eastAsia="华文中宋"/>
          <w:b/>
          <w:sz w:val="32"/>
          <w:szCs w:val="22"/>
        </w:rPr>
        <w:t>综合评分明细表</w:t>
      </w:r>
    </w:p>
    <w:tbl>
      <w:tblPr>
        <w:tblStyle w:val="13"/>
        <w:tblW w:w="88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"/>
        <w:gridCol w:w="1427"/>
        <w:gridCol w:w="561"/>
        <w:gridCol w:w="5323"/>
        <w:gridCol w:w="9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评分因素</w:t>
            </w:r>
          </w:p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及权重</w:t>
            </w:r>
          </w:p>
        </w:tc>
        <w:tc>
          <w:tcPr>
            <w:tcW w:w="561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分　值</w:t>
            </w:r>
          </w:p>
        </w:tc>
        <w:tc>
          <w:tcPr>
            <w:tcW w:w="5323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评分标准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报价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%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（主要评分因素）</w:t>
            </w:r>
          </w:p>
        </w:tc>
        <w:tc>
          <w:tcPr>
            <w:tcW w:w="561" w:type="dxa"/>
            <w:noWrap w:val="0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分</w:t>
            </w:r>
          </w:p>
        </w:tc>
        <w:tc>
          <w:tcPr>
            <w:tcW w:w="5323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满足磋商文件要求且响应价格最低的响应报价为磋商基准价，其价格分为满分。其他供应商的价格分统一按照下列公式计算：磋商报价得分=(磋商基准价／最后磋商报价)*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%*100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2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技术服务要求40%（主要评分因素）</w:t>
            </w:r>
          </w:p>
        </w:tc>
        <w:tc>
          <w:tcPr>
            <w:tcW w:w="56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40分</w:t>
            </w:r>
          </w:p>
        </w:tc>
        <w:tc>
          <w:tcPr>
            <w:tcW w:w="532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1、投标人针对技术服务要求中一般技术参数条款的响应得分规则如下：（一般技术参数条款指未标注 “★”或“*”的条款）</w:t>
            </w:r>
          </w:p>
          <w:p>
            <w:pPr>
              <w:spacing w:line="300" w:lineRule="exact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一般技术参数条款响应得分=（投标人满足一般技术参数条款的数量÷一般技术参数条款的总数量）×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20分。（共42条，保留至小数点后2位）</w:t>
            </w:r>
          </w:p>
          <w:p>
            <w:pPr>
              <w:spacing w:line="3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2、投标人针对 “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★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”技术参数条款的响应得分规则如下：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leftChars="0" w:right="0" w:rightChars="0"/>
              <w:jc w:val="both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“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★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”技术参数条款响应得分=（投标人满足“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★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”技术参数条款的数量÷“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★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”技术参数条款的总数量）×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20分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。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共5条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）</w:t>
            </w:r>
          </w:p>
          <w:p>
            <w:pPr>
              <w:pStyle w:val="2"/>
              <w:spacing w:line="300" w:lineRule="exact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注：</w:t>
            </w:r>
          </w:p>
          <w:p>
            <w:pPr>
              <w:pStyle w:val="2"/>
              <w:spacing w:line="300" w:lineRule="exact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①若★条款要求提供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技术支撑材料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或承诺函，不提供或提供的材料不足以佐证则该条款作为无效响应。</w:t>
            </w:r>
          </w:p>
          <w:p>
            <w:pPr>
              <w:spacing w:line="300" w:lineRule="exact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②*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号条款为实质性要求，不参与本项评分。以一级序号阿拉伯数字（如 “1.”“2.”“3.”……）为一项，阿拉伯数字序号下有多级序号的，以最小级别序号为1项。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3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2"/>
                <w:szCs w:val="22"/>
                <w:highlight w:val="none"/>
                <w:lang w:val="en-US" w:eastAsia="zh-CN" w:bidi="ar"/>
              </w:rPr>
              <w:t>履约能力16%</w:t>
            </w:r>
          </w:p>
        </w:tc>
        <w:tc>
          <w:tcPr>
            <w:tcW w:w="56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16分</w:t>
            </w:r>
          </w:p>
        </w:tc>
        <w:tc>
          <w:tcPr>
            <w:tcW w:w="5323" w:type="dxa"/>
            <w:noWrap w:val="0"/>
            <w:vAlign w:val="center"/>
          </w:tcPr>
          <w:p>
            <w:pPr>
              <w:numPr>
                <w:ilvl w:val="-1"/>
                <w:numId w:val="0"/>
              </w:numPr>
              <w:spacing w:line="300" w:lineRule="exact"/>
              <w:jc w:val="both"/>
              <w:rPr>
                <w:rFonts w:hint="eastAsia" w:ascii="仿宋" w:hAnsi="仿宋" w:eastAsia="仿宋" w:cs="仿宋"/>
                <w:b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sz w:val="22"/>
                <w:szCs w:val="22"/>
                <w:lang w:val="en-US" w:eastAsia="zh-CN"/>
              </w:rPr>
              <w:t>1.企业资质要求：</w:t>
            </w:r>
            <w:r>
              <w:rPr>
                <w:rFonts w:hint="eastAsia" w:ascii="仿宋" w:hAnsi="仿宋" w:eastAsia="仿宋" w:cs="仿宋"/>
                <w:b w:val="0"/>
                <w:sz w:val="22"/>
                <w:szCs w:val="22"/>
                <w:lang w:eastAsia="zh-CN"/>
              </w:rPr>
              <w:t>涉密信息系统集成资质，涉密软件开发资质，</w:t>
            </w:r>
            <w:r>
              <w:rPr>
                <w:rFonts w:hint="eastAsia" w:ascii="仿宋" w:hAnsi="仿宋" w:eastAsia="仿宋" w:cs="仿宋"/>
                <w:b w:val="0"/>
                <w:sz w:val="22"/>
                <w:szCs w:val="22"/>
              </w:rPr>
              <w:t>质量管理体系认证证书</w:t>
            </w:r>
            <w:r>
              <w:rPr>
                <w:rFonts w:hint="eastAsia" w:ascii="仿宋" w:hAnsi="仿宋" w:eastAsia="仿宋" w:cs="仿宋"/>
                <w:b w:val="0"/>
                <w:sz w:val="22"/>
                <w:szCs w:val="22"/>
                <w:lang w:eastAsia="zh-CN"/>
              </w:rPr>
              <w:t>，信息安全技术服务管理体系认证证书，信息安全服务应急处理资质（</w:t>
            </w:r>
            <w:r>
              <w:rPr>
                <w:rFonts w:hint="eastAsia" w:ascii="仿宋" w:hAnsi="仿宋" w:eastAsia="仿宋" w:cs="仿宋"/>
                <w:b w:val="0"/>
                <w:sz w:val="22"/>
                <w:szCs w:val="22"/>
                <w:lang w:val="en-US" w:eastAsia="zh-CN"/>
              </w:rPr>
              <w:t>5个，</w:t>
            </w:r>
            <w:r>
              <w:rPr>
                <w:rFonts w:hint="eastAsia" w:ascii="仿宋" w:hAnsi="仿宋" w:eastAsia="仿宋" w:cs="仿宋"/>
                <w:b w:val="0"/>
                <w:sz w:val="22"/>
                <w:szCs w:val="22"/>
                <w:lang w:eastAsia="zh-CN"/>
              </w:rPr>
              <w:t>每提供一个得</w:t>
            </w:r>
            <w:r>
              <w:rPr>
                <w:rFonts w:hint="eastAsia" w:ascii="仿宋" w:hAnsi="仿宋" w:eastAsia="仿宋" w:cs="仿宋"/>
                <w:b w:val="0"/>
                <w:sz w:val="22"/>
                <w:szCs w:val="22"/>
                <w:lang w:val="en-US" w:eastAsia="zh-CN"/>
              </w:rPr>
              <w:t>2分，共计10分）。                                           2.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投标人</w:t>
            </w:r>
            <w:r>
              <w:rPr>
                <w:rFonts w:hint="eastAsia" w:ascii="仿宋" w:hAnsi="仿宋" w:eastAsia="仿宋" w:cs="仿宋"/>
                <w:b w:val="0"/>
                <w:sz w:val="22"/>
                <w:szCs w:val="22"/>
              </w:rPr>
              <w:t>针对本项目拟投入的项目成员</w:t>
            </w:r>
            <w:r>
              <w:rPr>
                <w:rFonts w:hint="eastAsia" w:ascii="仿宋" w:hAnsi="仿宋" w:eastAsia="仿宋" w:cs="仿宋"/>
                <w:b w:val="0"/>
                <w:sz w:val="22"/>
                <w:szCs w:val="22"/>
                <w:lang w:eastAsia="zh-CN"/>
              </w:rPr>
              <w:t>需要具有涉密人员证书，</w:t>
            </w:r>
            <w:r>
              <w:rPr>
                <w:rFonts w:hint="eastAsia" w:ascii="仿宋" w:hAnsi="仿宋" w:eastAsia="仿宋" w:cs="仿宋"/>
                <w:b w:val="0"/>
                <w:sz w:val="22"/>
                <w:szCs w:val="22"/>
              </w:rPr>
              <w:t>每一人得</w:t>
            </w:r>
            <w:r>
              <w:rPr>
                <w:rFonts w:hint="eastAsia" w:ascii="仿宋" w:hAnsi="仿宋" w:eastAsia="仿宋" w:cs="仿宋"/>
                <w:b w:val="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b w:val="0"/>
                <w:sz w:val="22"/>
                <w:szCs w:val="22"/>
              </w:rPr>
              <w:t>分，最多得</w:t>
            </w:r>
            <w:r>
              <w:rPr>
                <w:rFonts w:hint="eastAsia" w:ascii="仿宋" w:hAnsi="仿宋" w:eastAsia="仿宋" w:cs="仿宋"/>
                <w:b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b w:val="0"/>
                <w:sz w:val="22"/>
                <w:szCs w:val="22"/>
              </w:rPr>
              <w:t>分。</w:t>
            </w:r>
          </w:p>
          <w:p>
            <w:pPr>
              <w:numPr>
                <w:ilvl w:val="0"/>
                <w:numId w:val="0"/>
              </w:numPr>
              <w:spacing w:line="300" w:lineRule="exact"/>
              <w:jc w:val="both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lang w:val="en-US" w:eastAsia="zh-CN"/>
              </w:rPr>
              <w:t>3.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投标人</w:t>
            </w:r>
            <w:r>
              <w:rPr>
                <w:rFonts w:hint="eastAsia" w:ascii="仿宋" w:hAnsi="仿宋" w:eastAsia="仿宋" w:cs="仿宋"/>
                <w:b w:val="0"/>
                <w:bCs w:val="0"/>
                <w:sz w:val="22"/>
                <w:lang w:val="en-US" w:eastAsia="zh-CN"/>
              </w:rPr>
              <w:t>具有类似电子档案系统著作权证书每提供一个得2分</w:t>
            </w:r>
            <w:r>
              <w:rPr>
                <w:rFonts w:hint="eastAsia" w:ascii="仿宋" w:hAnsi="仿宋" w:eastAsia="仿宋" w:cs="仿宋"/>
                <w:b w:val="0"/>
                <w:sz w:val="22"/>
                <w:szCs w:val="22"/>
              </w:rPr>
              <w:t>，</w:t>
            </w:r>
            <w:r>
              <w:rPr>
                <w:rFonts w:hint="eastAsia" w:ascii="仿宋" w:hAnsi="仿宋" w:eastAsia="仿宋" w:cs="仿宋"/>
                <w:b w:val="0"/>
                <w:sz w:val="22"/>
                <w:szCs w:val="22"/>
                <w:lang w:eastAsia="zh-CN"/>
              </w:rPr>
              <w:t>最多得</w:t>
            </w:r>
            <w:r>
              <w:rPr>
                <w:rFonts w:hint="eastAsia" w:ascii="仿宋" w:hAnsi="仿宋" w:eastAsia="仿宋" w:cs="仿宋"/>
                <w:b w:val="0"/>
                <w:sz w:val="22"/>
                <w:szCs w:val="22"/>
                <w:lang w:val="en-US" w:eastAsia="zh-CN"/>
              </w:rPr>
              <w:t>2分.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4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业绩10%</w:t>
            </w:r>
          </w:p>
        </w:tc>
        <w:tc>
          <w:tcPr>
            <w:tcW w:w="56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10分</w:t>
            </w:r>
          </w:p>
        </w:tc>
        <w:tc>
          <w:tcPr>
            <w:tcW w:w="532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评审委员会根据供应商提供的类似项目业绩（2021年1月1月至比选截止日（以合同签订日期为准）进行评定，每提供一个业绩得1分，最多得10分。</w:t>
            </w:r>
          </w:p>
          <w:p>
            <w:pPr>
              <w:pStyle w:val="2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注：提供合同关键页（关键页至少包含首页、签字页、合同服务内容）扫描件或中标/成交通知书复印件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5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系统设计总体方案8%</w:t>
            </w:r>
          </w:p>
        </w:tc>
        <w:tc>
          <w:tcPr>
            <w:tcW w:w="56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8分</w:t>
            </w:r>
          </w:p>
        </w:tc>
        <w:tc>
          <w:tcPr>
            <w:tcW w:w="532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根据供应商对本项目提供的系统设计总体方案进行评审，方案内容包括：①目标</w:t>
            </w:r>
            <w:r>
              <w:rPr>
                <w:rFonts w:hint="eastAsia" w:ascii="仿宋" w:hAnsi="仿宋" w:eastAsia="仿宋" w:cs="仿宋"/>
                <w:b w:val="0"/>
                <w:sz w:val="22"/>
                <w:szCs w:val="22"/>
                <w:lang w:bidi="ar"/>
              </w:rPr>
              <w:t>概述</w:t>
            </w: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、②</w:t>
            </w:r>
            <w:r>
              <w:rPr>
                <w:rFonts w:hint="eastAsia" w:ascii="仿宋" w:hAnsi="仿宋" w:eastAsia="仿宋" w:cs="仿宋"/>
                <w:b w:val="0"/>
                <w:sz w:val="22"/>
                <w:szCs w:val="22"/>
                <w:lang w:bidi="ar"/>
              </w:rPr>
              <w:t>解决策略</w:t>
            </w:r>
            <w:r>
              <w:rPr>
                <w:rFonts w:hint="eastAsia" w:ascii="仿宋" w:hAnsi="仿宋" w:eastAsia="仿宋" w:cs="仿宋"/>
                <w:b w:val="0"/>
                <w:sz w:val="22"/>
                <w:szCs w:val="22"/>
                <w:lang w:eastAsia="zh-CN" w:bidi="ar"/>
              </w:rPr>
              <w:t>、</w:t>
            </w: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③项目组织管理方案、④实施流程、⑤进度保障、⑥使用培训、⑦</w:t>
            </w:r>
            <w:r>
              <w:rPr>
                <w:rFonts w:hint="eastAsia" w:ascii="仿宋" w:hAnsi="仿宋" w:eastAsia="仿宋" w:cs="仿宋"/>
                <w:b w:val="0"/>
                <w:sz w:val="22"/>
                <w:szCs w:val="22"/>
                <w:lang w:bidi="ar"/>
              </w:rPr>
              <w:t>运维设计</w:t>
            </w:r>
            <w:r>
              <w:rPr>
                <w:rFonts w:hint="eastAsia" w:ascii="仿宋" w:hAnsi="仿宋" w:eastAsia="仿宋" w:cs="仿宋"/>
                <w:b w:val="0"/>
                <w:sz w:val="22"/>
                <w:szCs w:val="22"/>
                <w:lang w:eastAsia="zh-CN" w:bidi="ar"/>
              </w:rPr>
              <w:t>、</w:t>
            </w:r>
            <w:r>
              <w:rPr>
                <w:rFonts w:hint="eastAsia" w:ascii="仿宋" w:hAnsi="仿宋" w:eastAsia="仿宋" w:cs="仿宋"/>
                <w:b w:val="0"/>
                <w:sz w:val="22"/>
                <w:szCs w:val="22"/>
                <w:lang w:val="en-US" w:eastAsia="zh-CN" w:bidi="ar"/>
              </w:rPr>
              <w:t>⑧保密措施，</w:t>
            </w: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得8分，每有一项内容缺失扣1分，扣完为止。以上每一项中每有 1 处存在内容缺陷或不合理的扣0.5分【内容缺陷或不合理是指：存在不适用项目实际情况的情形（与项目实际不匹配、不符合项目特点）、内容不完整不明确、不具备针对性可操作性、逻辑漏洞、前后不一致以及不可能实现的夸大情形等】。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6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售后服务方案6%</w:t>
            </w:r>
          </w:p>
        </w:tc>
        <w:tc>
          <w:tcPr>
            <w:tcW w:w="56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6分</w:t>
            </w:r>
          </w:p>
        </w:tc>
        <w:tc>
          <w:tcPr>
            <w:tcW w:w="532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根据供应商对本项目提供的售后服务方案进行评审，方案内容包括：①售后服务工作流程、②质量保障措施、③、系统维护方案，得6分，每有一项内容缺失扣2分，扣完为止。以上每一项中每有 1 处存在内容缺陷或不合理的扣1分【内容缺陷或不合理是指：存在不适用项目实际情况的情形（与项目实际不匹配、不符合项目特点）、内容不完整不明确、不具备针对性可操作性、逻辑漏洞、前后不一致以及不可能实现的夸大情形等】，扣完为止。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</w:pPr>
          </w:p>
        </w:tc>
      </w:tr>
    </w:tbl>
    <w:p>
      <w:pPr>
        <w:pStyle w:val="2"/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280452"/>
      <w:docPartObj>
        <w:docPartGallery w:val="autotext"/>
      </w:docPartObj>
    </w:sdtPr>
    <w:sdtContent>
      <w:p>
        <w:pPr>
          <w:pStyle w:val="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2Y2MjE2NWRiNWExODdlZTQ4NmVmMGRlZmE1OTlkMzcifQ=="/>
  </w:docVars>
  <w:rsids>
    <w:rsidRoot w:val="00E22E45"/>
    <w:rsid w:val="00001C3B"/>
    <w:rsid w:val="000410A6"/>
    <w:rsid w:val="00050ED4"/>
    <w:rsid w:val="00051D2B"/>
    <w:rsid w:val="00074390"/>
    <w:rsid w:val="000D2646"/>
    <w:rsid w:val="00112B47"/>
    <w:rsid w:val="00113045"/>
    <w:rsid w:val="00192D51"/>
    <w:rsid w:val="001A7950"/>
    <w:rsid w:val="001B3AAF"/>
    <w:rsid w:val="0020468A"/>
    <w:rsid w:val="00213504"/>
    <w:rsid w:val="002408FC"/>
    <w:rsid w:val="002554A9"/>
    <w:rsid w:val="0025732E"/>
    <w:rsid w:val="00283F95"/>
    <w:rsid w:val="002907C5"/>
    <w:rsid w:val="002E2DA8"/>
    <w:rsid w:val="002E6E39"/>
    <w:rsid w:val="0031681B"/>
    <w:rsid w:val="003228B1"/>
    <w:rsid w:val="00347EC8"/>
    <w:rsid w:val="003A70FA"/>
    <w:rsid w:val="003C4A89"/>
    <w:rsid w:val="003E7865"/>
    <w:rsid w:val="003F606A"/>
    <w:rsid w:val="00403BD4"/>
    <w:rsid w:val="004228CC"/>
    <w:rsid w:val="00430CEE"/>
    <w:rsid w:val="0047555D"/>
    <w:rsid w:val="00495055"/>
    <w:rsid w:val="004A0936"/>
    <w:rsid w:val="004A6404"/>
    <w:rsid w:val="004E2FA8"/>
    <w:rsid w:val="004F483F"/>
    <w:rsid w:val="004F73FC"/>
    <w:rsid w:val="005039E6"/>
    <w:rsid w:val="0052389F"/>
    <w:rsid w:val="00541AF2"/>
    <w:rsid w:val="00541CCA"/>
    <w:rsid w:val="00545871"/>
    <w:rsid w:val="00580A53"/>
    <w:rsid w:val="005D51A2"/>
    <w:rsid w:val="00614CB0"/>
    <w:rsid w:val="00636BC4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F3F42"/>
    <w:rsid w:val="00810144"/>
    <w:rsid w:val="00823E53"/>
    <w:rsid w:val="00837BCE"/>
    <w:rsid w:val="008B08A0"/>
    <w:rsid w:val="008C0943"/>
    <w:rsid w:val="008C7F30"/>
    <w:rsid w:val="008F126A"/>
    <w:rsid w:val="008F6197"/>
    <w:rsid w:val="00914264"/>
    <w:rsid w:val="009C1FC5"/>
    <w:rsid w:val="009C55DC"/>
    <w:rsid w:val="00A56023"/>
    <w:rsid w:val="00A90013"/>
    <w:rsid w:val="00A91080"/>
    <w:rsid w:val="00AC4080"/>
    <w:rsid w:val="00AD7793"/>
    <w:rsid w:val="00B0488C"/>
    <w:rsid w:val="00B12D10"/>
    <w:rsid w:val="00B140BC"/>
    <w:rsid w:val="00B16835"/>
    <w:rsid w:val="00B21A3D"/>
    <w:rsid w:val="00B52DAF"/>
    <w:rsid w:val="00B6313B"/>
    <w:rsid w:val="00B86E23"/>
    <w:rsid w:val="00BE40F8"/>
    <w:rsid w:val="00C04E23"/>
    <w:rsid w:val="00C16401"/>
    <w:rsid w:val="00C22F6A"/>
    <w:rsid w:val="00C65737"/>
    <w:rsid w:val="00C717D3"/>
    <w:rsid w:val="00C71D2D"/>
    <w:rsid w:val="00C72768"/>
    <w:rsid w:val="00CD2F36"/>
    <w:rsid w:val="00CD7356"/>
    <w:rsid w:val="00CE62E8"/>
    <w:rsid w:val="00D23E2A"/>
    <w:rsid w:val="00D84C1E"/>
    <w:rsid w:val="00D8582B"/>
    <w:rsid w:val="00D915EF"/>
    <w:rsid w:val="00DD0717"/>
    <w:rsid w:val="00E22E45"/>
    <w:rsid w:val="00E23AE4"/>
    <w:rsid w:val="00E24F50"/>
    <w:rsid w:val="00E92CCE"/>
    <w:rsid w:val="00EB73D2"/>
    <w:rsid w:val="00EE732C"/>
    <w:rsid w:val="00F127B5"/>
    <w:rsid w:val="00F30A99"/>
    <w:rsid w:val="00F54FEB"/>
    <w:rsid w:val="00F56E20"/>
    <w:rsid w:val="00F64198"/>
    <w:rsid w:val="00F7479E"/>
    <w:rsid w:val="00F91F4A"/>
    <w:rsid w:val="00FE7076"/>
    <w:rsid w:val="01EE0DCD"/>
    <w:rsid w:val="02554973"/>
    <w:rsid w:val="07D3610D"/>
    <w:rsid w:val="0BEF4460"/>
    <w:rsid w:val="0DB40D5F"/>
    <w:rsid w:val="0DC61272"/>
    <w:rsid w:val="17EE2139"/>
    <w:rsid w:val="1C3B161D"/>
    <w:rsid w:val="1C985A0D"/>
    <w:rsid w:val="1FAA15A2"/>
    <w:rsid w:val="2B796EBE"/>
    <w:rsid w:val="300817D1"/>
    <w:rsid w:val="332B5D3D"/>
    <w:rsid w:val="38520016"/>
    <w:rsid w:val="3A2F783B"/>
    <w:rsid w:val="3D5529A7"/>
    <w:rsid w:val="3DBC3894"/>
    <w:rsid w:val="3E960D7F"/>
    <w:rsid w:val="420266F3"/>
    <w:rsid w:val="4962387D"/>
    <w:rsid w:val="4BBE6CC9"/>
    <w:rsid w:val="5074152A"/>
    <w:rsid w:val="57CC719B"/>
    <w:rsid w:val="5A00477A"/>
    <w:rsid w:val="5E9952E6"/>
    <w:rsid w:val="627D77E8"/>
    <w:rsid w:val="6333473F"/>
    <w:rsid w:val="6A7A7481"/>
    <w:rsid w:val="73F41F8C"/>
    <w:rsid w:val="74324BCE"/>
    <w:rsid w:val="7CC50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qFormat="1" w:unhideWhenUsed="0" w:uiPriority="0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link w:val="21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unhideWhenUsed/>
    <w:qFormat/>
    <w:uiPriority w:val="0"/>
    <w:pPr>
      <w:spacing w:after="120"/>
    </w:pPr>
  </w:style>
  <w:style w:type="paragraph" w:styleId="4">
    <w:name w:val="Normal Indent"/>
    <w:basedOn w:val="1"/>
    <w:qFormat/>
    <w:uiPriority w:val="0"/>
    <w:pPr>
      <w:ind w:firstLine="200" w:firstLineChars="200"/>
    </w:pPr>
  </w:style>
  <w:style w:type="paragraph" w:styleId="5">
    <w:name w:val="annotation text"/>
    <w:basedOn w:val="1"/>
    <w:semiHidden/>
    <w:unhideWhenUsed/>
    <w:qFormat/>
    <w:uiPriority w:val="99"/>
    <w:pPr>
      <w:jc w:val="left"/>
    </w:pPr>
  </w:style>
  <w:style w:type="paragraph" w:styleId="6">
    <w:name w:val="Date"/>
    <w:basedOn w:val="1"/>
    <w:next w:val="1"/>
    <w:link w:val="24"/>
    <w:semiHidden/>
    <w:unhideWhenUsed/>
    <w:qFormat/>
    <w:uiPriority w:val="99"/>
    <w:pPr>
      <w:ind w:left="100" w:leftChars="2500"/>
    </w:pPr>
  </w:style>
  <w:style w:type="paragraph" w:styleId="7">
    <w:name w:val="endnote text"/>
    <w:basedOn w:val="1"/>
    <w:qFormat/>
    <w:uiPriority w:val="0"/>
    <w:pPr>
      <w:snapToGrid w:val="0"/>
      <w:jc w:val="left"/>
    </w:pPr>
  </w:style>
  <w:style w:type="paragraph" w:styleId="8">
    <w:name w:val="Balloon Text"/>
    <w:basedOn w:val="1"/>
    <w:link w:val="25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2">
    <w:name w:val="Normal (Web)"/>
    <w:basedOn w:val="1"/>
    <w:next w:val="7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table" w:styleId="14">
    <w:name w:val="Table Grid"/>
    <w:basedOn w:val="1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page number"/>
    <w:qFormat/>
    <w:uiPriority w:val="0"/>
  </w:style>
  <w:style w:type="character" w:styleId="17">
    <w:name w:val="Hyperlink"/>
    <w:basedOn w:val="15"/>
    <w:unhideWhenUsed/>
    <w:qFormat/>
    <w:uiPriority w:val="99"/>
    <w:rPr>
      <w:color w:val="0000FF" w:themeColor="hyperlink"/>
      <w:u w:val="single"/>
    </w:rPr>
  </w:style>
  <w:style w:type="character" w:customStyle="1" w:styleId="18">
    <w:name w:val="页眉 Char"/>
    <w:basedOn w:val="15"/>
    <w:link w:val="10"/>
    <w:qFormat/>
    <w:uiPriority w:val="99"/>
    <w:rPr>
      <w:sz w:val="18"/>
      <w:szCs w:val="18"/>
    </w:rPr>
  </w:style>
  <w:style w:type="character" w:customStyle="1" w:styleId="19">
    <w:name w:val="页脚 Char"/>
    <w:basedOn w:val="15"/>
    <w:link w:val="9"/>
    <w:qFormat/>
    <w:uiPriority w:val="99"/>
    <w:rPr>
      <w:sz w:val="18"/>
      <w:szCs w:val="18"/>
    </w:rPr>
  </w:style>
  <w:style w:type="paragraph" w:styleId="20">
    <w:name w:val="List Paragraph"/>
    <w:basedOn w:val="1"/>
    <w:qFormat/>
    <w:uiPriority w:val="34"/>
    <w:pPr>
      <w:ind w:firstLine="420" w:firstLineChars="200"/>
    </w:pPr>
  </w:style>
  <w:style w:type="character" w:customStyle="1" w:styleId="21">
    <w:name w:val="标题 2 Char"/>
    <w:basedOn w:val="15"/>
    <w:link w:val="3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2">
    <w:name w:val="列出段落 Char"/>
    <w:link w:val="23"/>
    <w:qFormat/>
    <w:uiPriority w:val="34"/>
    <w:rPr>
      <w:rFonts w:ascii="宋体" w:hAnsi="宋体" w:cs="宋体"/>
      <w:sz w:val="24"/>
      <w:szCs w:val="24"/>
    </w:rPr>
  </w:style>
  <w:style w:type="paragraph" w:customStyle="1" w:styleId="23">
    <w:name w:val="列出段落1"/>
    <w:basedOn w:val="1"/>
    <w:link w:val="22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24">
    <w:name w:val="日期 Char"/>
    <w:basedOn w:val="15"/>
    <w:link w:val="6"/>
    <w:semiHidden/>
    <w:qFormat/>
    <w:uiPriority w:val="99"/>
  </w:style>
  <w:style w:type="character" w:customStyle="1" w:styleId="25">
    <w:name w:val="批注框文本 Char"/>
    <w:basedOn w:val="15"/>
    <w:link w:val="8"/>
    <w:semiHidden/>
    <w:qFormat/>
    <w:uiPriority w:val="99"/>
    <w:rPr>
      <w:sz w:val="18"/>
      <w:szCs w:val="18"/>
    </w:rPr>
  </w:style>
  <w:style w:type="character" w:customStyle="1" w:styleId="26">
    <w:name w:val="font01"/>
    <w:basedOn w:val="1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27">
    <w:name w:val="正文首行缩进两字符"/>
    <w:basedOn w:val="1"/>
    <w:qFormat/>
    <w:uiPriority w:val="0"/>
    <w:pPr>
      <w:spacing w:line="360" w:lineRule="auto"/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14</Pages>
  <Words>4594</Words>
  <Characters>4898</Characters>
  <Lines>14</Lines>
  <Paragraphs>4</Paragraphs>
  <TotalTime>2</TotalTime>
  <ScaleCrop>false</ScaleCrop>
  <LinksUpToDate>false</LinksUpToDate>
  <CharactersWithSpaces>5038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2019-01-04T06:50:00Z</dcterms:created>
  <dc:creator>HOUQING</dc:creator>
  <cp:lastModifiedBy>cs</cp:lastModifiedBy>
  <cp:lastPrinted>2022-06-20T08:08:00Z</cp:lastPrinted>
  <dcterms:modified xsi:type="dcterms:W3CDTF">2022-07-01T06:27:10Z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EC3FD689C5D342D799BD160DC760BFDB</vt:lpwstr>
  </property>
</Properties>
</file>