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Arial" w:hAnsi="Arial" w:eastAsia="黑体" w:cs="Times New Roman"/>
          <w:b/>
          <w:bCs/>
          <w:sz w:val="32"/>
          <w:szCs w:val="32"/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Arial" w:hAnsi="Arial" w:eastAsia="黑体" w:cs="Times New Roman"/>
          <w:b/>
          <w:bCs/>
          <w:sz w:val="32"/>
          <w:szCs w:val="32"/>
        </w:rPr>
        <w:t>附件1：</w:t>
      </w:r>
      <w:r>
        <w:rPr>
          <w:rFonts w:hint="eastAsia" w:ascii="Arial" w:hAnsi="Arial" w:eastAsia="黑体" w:cs="Times New Roman"/>
          <w:b/>
          <w:bCs/>
          <w:sz w:val="32"/>
          <w:szCs w:val="32"/>
          <w:lang w:val="en-US" w:eastAsia="zh-CN"/>
        </w:rPr>
        <w:t>项目</w:t>
      </w:r>
      <w:r>
        <w:rPr>
          <w:rFonts w:hint="eastAsia" w:ascii="Arial" w:hAnsi="Arial" w:eastAsia="黑体" w:cs="Times New Roman"/>
          <w:b/>
          <w:bCs/>
          <w:sz w:val="32"/>
          <w:szCs w:val="32"/>
        </w:rPr>
        <w:t>需求</w:t>
      </w:r>
    </w:p>
    <w:p>
      <w:pPr>
        <w:spacing w:line="500" w:lineRule="exact"/>
        <w:rPr>
          <w:rFonts w:hint="eastAsia" w:ascii="宋体" w:hAnsi="宋体" w:eastAsia="宋体" w:cs="宋体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sz w:val="24"/>
          <w:highlight w:val="none"/>
        </w:rPr>
        <w:t>本章中标注“*”的条款为本项目的实质性条款，投标人不满足的，将按照无效投标处理。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  <w:t>）</w:t>
      </w:r>
    </w:p>
    <w:p>
      <w:pPr>
        <w:spacing w:line="500" w:lineRule="exact"/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</w:rPr>
        <w:t>项目概述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eastAsia="zh-CN"/>
        </w:rPr>
        <w:t>：</w:t>
      </w:r>
    </w:p>
    <w:p>
      <w:pPr>
        <w:spacing w:line="500" w:lineRule="exact"/>
        <w:ind w:firstLine="480" w:firstLineChars="200"/>
        <w:rPr>
          <w:rFonts w:hint="eastAsia" w:ascii="宋体" w:hAnsi="宋体" w:eastAsia="宋体" w:cs="宋体"/>
          <w:sz w:val="24"/>
          <w:szCs w:val="22"/>
          <w:highlight w:val="none"/>
        </w:rPr>
      </w:pPr>
      <w:r>
        <w:rPr>
          <w:rFonts w:hint="eastAsia" w:ascii="宋体" w:hAnsi="宋体" w:eastAsia="宋体" w:cs="宋体"/>
          <w:sz w:val="24"/>
          <w:szCs w:val="22"/>
          <w:highlight w:val="none"/>
        </w:rPr>
        <w:t>本项目</w:t>
      </w:r>
      <w:r>
        <w:rPr>
          <w:rFonts w:hint="eastAsia" w:ascii="宋体" w:hAnsi="宋体" w:eastAsia="宋体" w:cs="宋体"/>
          <w:sz w:val="24"/>
          <w:szCs w:val="22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2"/>
          <w:highlight w:val="none"/>
        </w:rPr>
        <w:t>个包，采购成都市龙泉驿区妇幼保健院</w:t>
      </w:r>
      <w:r>
        <w:rPr>
          <w:rFonts w:hint="eastAsia" w:ascii="宋体" w:hAnsi="宋体" w:eastAsia="宋体" w:cs="宋体"/>
          <w:b w:val="0"/>
          <w:sz w:val="24"/>
          <w:szCs w:val="22"/>
          <w:highlight w:val="none"/>
          <w:lang w:val="en-US" w:eastAsia="zh-CN"/>
        </w:rPr>
        <w:t>PCR实验室配套设备</w:t>
      </w:r>
      <w:r>
        <w:rPr>
          <w:rFonts w:hint="eastAsia" w:ascii="宋体" w:hAnsi="宋体" w:eastAsia="宋体" w:cs="宋体"/>
          <w:sz w:val="24"/>
          <w:szCs w:val="22"/>
          <w:highlight w:val="none"/>
          <w:lang w:val="en-US" w:eastAsia="zh-CN"/>
        </w:rPr>
        <w:t>一批</w:t>
      </w:r>
      <w:r>
        <w:rPr>
          <w:rFonts w:hint="eastAsia" w:ascii="宋体" w:hAnsi="宋体" w:eastAsia="宋体" w:cs="宋体"/>
          <w:sz w:val="24"/>
          <w:szCs w:val="22"/>
          <w:highlight w:val="none"/>
        </w:rPr>
        <w:t>，具体内容如下：</w:t>
      </w:r>
    </w:p>
    <w:tbl>
      <w:tblPr>
        <w:tblStyle w:val="12"/>
        <w:tblW w:w="87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676"/>
        <w:gridCol w:w="3259"/>
        <w:gridCol w:w="1118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" w:type="dxa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包号</w:t>
            </w:r>
          </w:p>
        </w:tc>
        <w:tc>
          <w:tcPr>
            <w:tcW w:w="1676" w:type="dxa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品目号</w:t>
            </w:r>
          </w:p>
        </w:tc>
        <w:tc>
          <w:tcPr>
            <w:tcW w:w="3259" w:type="dxa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标的名称</w:t>
            </w:r>
          </w:p>
        </w:tc>
        <w:tc>
          <w:tcPr>
            <w:tcW w:w="1118" w:type="dxa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数量（台）</w:t>
            </w:r>
          </w:p>
        </w:tc>
        <w:tc>
          <w:tcPr>
            <w:tcW w:w="1756" w:type="dxa"/>
            <w:vAlign w:val="top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最高限价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" w:type="dxa"/>
            <w:vMerge w:val="restart"/>
            <w:vAlign w:val="center"/>
          </w:tcPr>
          <w:p>
            <w:pPr>
              <w:pStyle w:val="5"/>
              <w:spacing w:line="500" w:lineRule="exact"/>
              <w:ind w:firstLine="240" w:firstLineChars="10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1676" w:type="dxa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1-1</w:t>
            </w:r>
          </w:p>
        </w:tc>
        <w:tc>
          <w:tcPr>
            <w:tcW w:w="3259" w:type="dxa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医用PCR分析仪</w:t>
            </w:r>
          </w:p>
        </w:tc>
        <w:tc>
          <w:tcPr>
            <w:tcW w:w="1118" w:type="dxa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56" w:type="dxa"/>
            <w:vMerge w:val="restart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288000.00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" w:type="dxa"/>
            <w:vMerge w:val="continue"/>
            <w:vAlign w:val="center"/>
          </w:tcPr>
          <w:p>
            <w:pPr>
              <w:pStyle w:val="5"/>
              <w:spacing w:line="500" w:lineRule="exact"/>
              <w:ind w:firstLine="0" w:firstLineChars="0"/>
              <w:rPr>
                <w:rFonts w:hint="default" w:asciiTheme="minorHAnsi" w:hAnsiTheme="minorHAnsi" w:eastAsiaTheme="minorEastAsia"/>
                <w:b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6" w:type="dxa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1-2</w:t>
            </w:r>
          </w:p>
        </w:tc>
        <w:tc>
          <w:tcPr>
            <w:tcW w:w="3259" w:type="dxa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生物安全柜</w:t>
            </w:r>
          </w:p>
        </w:tc>
        <w:tc>
          <w:tcPr>
            <w:tcW w:w="1118" w:type="dxa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56" w:type="dxa"/>
            <w:vMerge w:val="continue"/>
            <w:vAlign w:val="center"/>
          </w:tcPr>
          <w:p>
            <w:pPr>
              <w:pStyle w:val="5"/>
              <w:spacing w:line="500" w:lineRule="exact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0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  <w:t>二、商务要求：</w:t>
      </w:r>
    </w:p>
    <w:p>
      <w:pPr>
        <w:spacing w:line="500" w:lineRule="exact"/>
        <w:ind w:firstLine="0" w:firstLineChars="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*1．交货期及地点</w:t>
      </w:r>
    </w:p>
    <w:p>
      <w:pPr>
        <w:spacing w:line="500" w:lineRule="exact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1.1 交货期：合同签订生效后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highlight w:val="none"/>
        </w:rPr>
        <w:t xml:space="preserve">日内。 </w:t>
      </w:r>
    </w:p>
    <w:p>
      <w:pPr>
        <w:spacing w:line="500" w:lineRule="exact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1.2 交货地点: 成都市龙泉驿区妇幼保健院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*2．付款方法和条件：</w:t>
      </w:r>
    </w:p>
    <w:p>
      <w:pPr>
        <w:pStyle w:val="26"/>
        <w:snapToGrid w:val="0"/>
        <w:spacing w:before="0" w:beforeAutospacing="0" w:after="0" w:afterAutospacing="0" w:line="400" w:lineRule="exact"/>
        <w:ind w:firstLine="240" w:firstLineChars="100"/>
        <w:jc w:val="both"/>
        <w:textAlignment w:val="baseline"/>
        <w:rPr>
          <w:rFonts w:hAnsi="宋体"/>
          <w:b w:val="0"/>
          <w:i w:val="0"/>
          <w:caps w:val="0"/>
          <w:color w:val="000000" w:themeColor="text1"/>
          <w:spacing w:val="0"/>
          <w:w w:val="100"/>
          <w:sz w:val="24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2.1 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合同签订后，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eastAsia="zh-CN"/>
        </w:rPr>
        <w:t>货物到指定地点，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甲方接到乙方通知与票据凭证资料以后的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15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日内，按照财政性资金支付有关规定，向乙方核拨预付款，合同总金额的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50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%款项；</w:t>
      </w:r>
    </w:p>
    <w:p>
      <w:pPr>
        <w:pStyle w:val="26"/>
        <w:snapToGrid w:val="0"/>
        <w:spacing w:before="0" w:beforeAutospacing="0" w:after="0" w:afterAutospacing="0" w:line="400" w:lineRule="exact"/>
        <w:ind w:firstLine="240" w:firstLineChars="100"/>
        <w:jc w:val="both"/>
        <w:textAlignment w:val="baseline"/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</w:pPr>
      <w:r>
        <w:rPr>
          <w:rFonts w:hint="default" w:ascii="宋体" w:hAnsi="宋体" w:eastAsia="宋体"/>
          <w:b w:val="0"/>
          <w:bCs/>
          <w:i w:val="0"/>
          <w:caps w:val="0"/>
          <w:spacing w:val="0"/>
          <w:w w:val="100"/>
          <w:sz w:val="24"/>
          <w:highlight w:val="none"/>
        </w:rPr>
        <w:t>2</w:t>
      </w:r>
      <w:r>
        <w:rPr>
          <w:rFonts w:hint="default" w:ascii="宋体" w:hAnsi="宋体" w:eastAsia="宋体"/>
          <w:b w:val="0"/>
          <w:bCs/>
          <w:i w:val="0"/>
          <w:caps w:val="0"/>
          <w:spacing w:val="0"/>
          <w:w w:val="100"/>
          <w:sz w:val="24"/>
          <w:highlight w:val="none"/>
          <w:lang w:val="en-US" w:eastAsia="zh-CN"/>
        </w:rPr>
        <w:t>.2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货物安装调试完毕并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eastAsia="zh-CN"/>
        </w:rPr>
        <w:t>经科室确认后，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甲方接到乙方通知与票据凭证资料以后的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15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日内，向乙方核拨合同总金额的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40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%款项；</w:t>
      </w:r>
    </w:p>
    <w:p>
      <w:pPr>
        <w:pStyle w:val="26"/>
        <w:snapToGrid w:val="0"/>
        <w:spacing w:before="0" w:beforeAutospacing="0" w:after="0" w:afterAutospacing="0" w:line="400" w:lineRule="exact"/>
        <w:ind w:firstLine="240" w:firstLineChars="100"/>
        <w:jc w:val="both"/>
        <w:textAlignment w:val="baseline"/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</w:pPr>
      <w:r>
        <w:rPr>
          <w:rFonts w:hint="default" w:ascii="宋体" w:hAnsi="宋体" w:eastAsia="宋体"/>
          <w:b w:val="0"/>
          <w:bCs/>
          <w:i w:val="0"/>
          <w:caps w:val="0"/>
          <w:spacing w:val="0"/>
          <w:w w:val="100"/>
          <w:sz w:val="24"/>
          <w:highlight w:val="none"/>
          <w:lang w:val="en-US" w:eastAsia="zh-CN"/>
        </w:rPr>
        <w:t>2.3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货物正常使用六个月后，乙方提交验收报告，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eastAsia="zh-CN"/>
        </w:rPr>
        <w:t>经科室确认后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，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甲方接到乙方通知与票据凭证资料以后的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15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日内，向乙方核拨合同总金额的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  <w:lang w:val="en-US" w:eastAsia="zh-CN"/>
        </w:rPr>
        <w:t>10</w:t>
      </w:r>
      <w:r>
        <w:rPr>
          <w:rFonts w:hint="eastAsia" w:hAnsi="宋体"/>
          <w:b w:val="0"/>
          <w:i w:val="0"/>
          <w:caps w:val="0"/>
          <w:color w:val="000000" w:themeColor="text1"/>
          <w:spacing w:val="0"/>
          <w:w w:val="100"/>
          <w:sz w:val="24"/>
        </w:rPr>
        <w:t>%款项；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default" w:ascii="宋体" w:hAnsi="宋体" w:eastAsia="宋体" w:cs="宋体"/>
          <w:bCs/>
          <w:sz w:val="24"/>
          <w:highlight w:val="none"/>
        </w:rPr>
        <w:t>2.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4 </w:t>
      </w:r>
      <w:r>
        <w:rPr>
          <w:rFonts w:hint="eastAsia" w:ascii="宋体" w:hAnsi="宋体" w:eastAsia="宋体" w:cs="宋体"/>
          <w:bCs/>
          <w:sz w:val="24"/>
          <w:highlight w:val="none"/>
        </w:rPr>
        <w:t>付款条件：每次款项的支付前提均为采购人在收到中标人出具的正规发票30日内予以办理款项的支付。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3.质保期：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不低于伍年</w:t>
      </w:r>
      <w:r>
        <w:rPr>
          <w:rFonts w:hint="eastAsia" w:ascii="宋体" w:hAnsi="宋体" w:eastAsia="宋体" w:cs="宋体"/>
          <w:bCs/>
          <w:sz w:val="24"/>
          <w:highlight w:val="none"/>
        </w:rPr>
        <w:t>，质保期从验收合格之日起计算。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4.安装调试及验收：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4.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1 </w:t>
      </w:r>
      <w:r>
        <w:rPr>
          <w:rFonts w:hint="eastAsia" w:ascii="宋体" w:hAnsi="宋体" w:eastAsia="宋体" w:cs="宋体"/>
          <w:bCs/>
          <w:sz w:val="24"/>
          <w:highlight w:val="none"/>
        </w:rPr>
        <w:t>供应商负责设备安装、调试。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4.2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货物到达生产现场后，供应商接到采购人通知后7日内到达现场组织安装、调试，达到正常运行要求，保证采购人正常使用。所需的费用包括在投标总价格中。</w:t>
      </w:r>
    </w:p>
    <w:p>
      <w:pPr>
        <w:spacing w:line="500" w:lineRule="exact"/>
        <w:ind w:firstLine="240" w:firstLineChars="100"/>
        <w:jc w:val="lef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4.3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供应商应就设备的安装、调试、操作、维修、保养等对采购人维修技术人员进行培训。设备安装调试完毕后，供应商应对采购人操作人员进行现场培训，直至采购人的技术人员能独立操作，同时能完成一般常见故障的维修工作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5.履约验收要求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1 </w:t>
      </w:r>
      <w:r>
        <w:rPr>
          <w:rFonts w:hint="eastAsia" w:ascii="宋体" w:hAnsi="宋体" w:eastAsia="宋体" w:cs="宋体"/>
          <w:bCs/>
          <w:sz w:val="24"/>
          <w:highlight w:val="none"/>
        </w:rPr>
        <w:t>验收方法：验收时双方皆应派员参加，验收合格并安装完毕后需双方签署验收单；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2 </w:t>
      </w:r>
      <w:r>
        <w:rPr>
          <w:rFonts w:hint="eastAsia" w:ascii="宋体" w:hAnsi="宋体" w:eastAsia="宋体" w:cs="宋体"/>
          <w:bCs/>
          <w:sz w:val="24"/>
          <w:highlight w:val="none"/>
        </w:rPr>
        <w:t>验收标准：符合国家相关规定的合格产品；保证所供的货物皆为原厂原装、全新、未使用过，并按照相关技术要求进行安装、调试，并完全满足采购人采购提出的工作需要。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3 </w:t>
      </w:r>
      <w:r>
        <w:rPr>
          <w:rFonts w:hint="eastAsia" w:ascii="宋体" w:hAnsi="宋体" w:eastAsia="宋体" w:cs="宋体"/>
          <w:bCs/>
          <w:sz w:val="24"/>
          <w:highlight w:val="none"/>
        </w:rPr>
        <w:t>验收时须提供的产品资料：（1）合同复印件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Cs/>
          <w:sz w:val="24"/>
          <w:highlight w:val="none"/>
        </w:rPr>
        <w:t>份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；</w:t>
      </w:r>
      <w:r>
        <w:rPr>
          <w:rFonts w:hint="eastAsia" w:ascii="宋体" w:hAnsi="宋体" w:eastAsia="宋体" w:cs="宋体"/>
          <w:bCs/>
          <w:sz w:val="24"/>
          <w:highlight w:val="none"/>
        </w:rPr>
        <w:t>（2）中标人资质、产品制造厂家资质及产品资质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Cs/>
          <w:sz w:val="24"/>
          <w:highlight w:val="none"/>
        </w:rPr>
        <w:t>投标产品制造厂家的授权文件纸质电子版各1套；（3）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合格证、保修卡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Cs/>
          <w:sz w:val="24"/>
          <w:highlight w:val="none"/>
        </w:rPr>
        <w:t>使用手册等。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4 </w:t>
      </w:r>
      <w:r>
        <w:rPr>
          <w:rFonts w:hint="eastAsia" w:ascii="宋体" w:hAnsi="宋体" w:eastAsia="宋体" w:cs="宋体"/>
          <w:bCs/>
          <w:sz w:val="24"/>
          <w:highlight w:val="none"/>
        </w:rPr>
        <w:t>验收时间要求：中标人按照合同要求完成全部货物运输、安装、调试等全部工作后，采购人在收到书面的验收申请材料后30日内组织履约验收工作。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5 </w:t>
      </w:r>
      <w:r>
        <w:rPr>
          <w:rFonts w:hint="eastAsia" w:ascii="宋体" w:hAnsi="宋体" w:eastAsia="宋体" w:cs="宋体"/>
          <w:bCs/>
          <w:sz w:val="24"/>
          <w:highlight w:val="none"/>
        </w:rPr>
        <w:t>其他要求：验收不合格时，采购人和中标人应协商一致，中标人应根据相关验收证明材料及时补足或更换设备，费用由中标人自行承担。</w:t>
      </w:r>
    </w:p>
    <w:p>
      <w:pPr>
        <w:numPr>
          <w:ilvl w:val="-1"/>
          <w:numId w:val="0"/>
        </w:numPr>
        <w:spacing w:line="500" w:lineRule="exac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6.</w:t>
      </w:r>
      <w:r>
        <w:rPr>
          <w:rFonts w:hint="eastAsia" w:ascii="宋体" w:hAnsi="宋体" w:eastAsia="宋体" w:cs="宋体"/>
          <w:bCs/>
          <w:sz w:val="24"/>
          <w:highlight w:val="none"/>
        </w:rPr>
        <w:t>售后服务及培训要求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6.1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设备发生故障时，中标人接到通知后30分钟内提供电话等服务响应，48小时内到达现场维修。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6.2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设备保修期内开机率不低于95%。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6.3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零配件供应：中标人应保证设备安装验收后备件供应不少于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Cs/>
          <w:sz w:val="24"/>
          <w:highlight w:val="none"/>
        </w:rPr>
        <w:t>年，备有所有必需的备件，保证需要时48小时内将配件送达采购人。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6.4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投标产品制造厂家在国内应有24小时电话维修系统，在供货时须提供工程师名单、联系电话、通讯地址及备件的目录，保证8小时响应采购人的服务要求。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6.5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中标人或投标产品生产厂家的售后服务机构在对设备进行保养、维修后须向采购人管理科室提供经使用人员确认的纸质报告；中标人或投标产品生产厂家需提供每年不少于2次的日常巡查巡检设备，并提供纸质报告。</w:t>
      </w:r>
    </w:p>
    <w:p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6 </w:t>
      </w:r>
      <w:r>
        <w:rPr>
          <w:rFonts w:hint="eastAsia" w:ascii="宋体" w:hAnsi="宋体" w:eastAsia="宋体" w:cs="宋体"/>
          <w:bCs/>
          <w:sz w:val="24"/>
          <w:highlight w:val="none"/>
        </w:rPr>
        <w:t>中标人应就设备的安装、调试、操作、维修、保养等对采购人技术人员进行培训，培训人员须为设备制造厂家的专业售后人员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.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宋体" w:hAnsi="宋体" w:eastAsia="宋体" w:cs="宋体"/>
          <w:b/>
          <w:bCs w:val="0"/>
          <w:sz w:val="24"/>
          <w:highlight w:val="none"/>
        </w:rPr>
      </w:pPr>
      <w:r>
        <w:rPr>
          <w:rFonts w:hint="eastAsia" w:ascii="宋体" w:hAnsi="宋体" w:eastAsia="宋体" w:cs="宋体"/>
          <w:b/>
          <w:bCs w:val="0"/>
          <w:sz w:val="24"/>
          <w:highlight w:val="none"/>
          <w:lang w:val="en-US" w:eastAsia="zh-CN"/>
        </w:rPr>
        <w:t>三、技术、服务要求</w:t>
      </w:r>
      <w:r>
        <w:rPr>
          <w:rFonts w:hint="eastAsia" w:ascii="宋体" w:hAnsi="宋体" w:eastAsia="宋体" w:cs="宋体"/>
          <w:b/>
          <w:bCs w:val="0"/>
          <w:sz w:val="24"/>
          <w:highlight w:val="none"/>
        </w:rPr>
        <w:t>：</w:t>
      </w:r>
    </w:p>
    <w:p>
      <w:pPr>
        <w:spacing w:line="500" w:lineRule="exact"/>
        <w:rPr>
          <w:rFonts w:hint="eastAsia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一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）</w:t>
      </w:r>
      <w:r>
        <w:rPr>
          <w:rFonts w:hint="eastAsia"/>
          <w:sz w:val="24"/>
          <w:szCs w:val="24"/>
          <w:lang w:val="en-US" w:eastAsia="zh-CN"/>
        </w:rPr>
        <w:t>医用PCR分析仪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1、激发光源： LED光源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2、检测器：高灵敏度光电传感器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3、★样本容量： ≥2*48孔，双模块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荧光检测波长：通道1:  470nm-510nm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 xml:space="preserve">              通道2:  530nm-565nm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 xml:space="preserve">              通道3:  580nm-620nm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 xml:space="preserve">              通道4:  630nm-665nm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 xml:space="preserve">              通道5: 预留</w:t>
      </w:r>
    </w:p>
    <w:p>
      <w:pPr>
        <w:spacing w:line="500" w:lineRule="exact"/>
        <w:ind w:firstLine="0" w:firstLineChars="0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通道6：预留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4、可检测的荧光素及染料：FAM,SYBR，VIC, HEX, Joe, TET，TAMRA，CY3，ROX, Texas Red, CY5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5、模块功能：双模块可独立运行2个48孔实验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6、★激发、检测光的传输模式:每一反应孔独立的光纤传输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7、软件应用模式：定量/定性、熔解曲线、多管多项目分析、相对定量、等位基因、HRM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8、模块温度范围：4℃-99℃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9、检测线性范围：10^0-10^10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10、★检测灵敏度：最小分辨率一个拷贝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11、反应容积：15ul-100ul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12、控温模式：半导体热电模块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13、升降温速率（MAX）：4.0℃/S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14、★温控精度：±0.1℃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15、★样品间温度均匀性：±0.1℃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16、热 盖：电子自动控制热盖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17、配备备用电源、工作站及接入LIS系统，所需费用包含在本次报价中。</w:t>
      </w:r>
    </w:p>
    <w:p>
      <w:pPr>
        <w:spacing w:line="500" w:lineRule="exac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18、质保期不小于5年。</w:t>
      </w:r>
    </w:p>
    <w:p>
      <w:pPr>
        <w:spacing w:line="500" w:lineRule="exact"/>
        <w:rPr>
          <w:rFonts w:hint="default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二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）</w:t>
      </w:r>
      <w:r>
        <w:rPr>
          <w:rFonts w:hint="eastAsia"/>
          <w:sz w:val="24"/>
          <w:szCs w:val="24"/>
          <w:lang w:val="en-US" w:eastAsia="zh-CN"/>
        </w:rPr>
        <w:t>生物安全柜</w:t>
      </w:r>
    </w:p>
    <w:p>
      <w:pPr>
        <w:widowControl/>
        <w:spacing w:before="0" w:after="0" w:line="500" w:lineRule="exact"/>
        <w:ind w:firstLine="0" w:firstLineChars="0"/>
        <w:jc w:val="left"/>
        <w:rPr>
          <w:rFonts w:hint="eastAsia" w:ascii="宋体" w:hAnsi="宋体" w:eastAsia="宋体" w:cs="宋体"/>
          <w:bCs/>
          <w:kern w:val="2"/>
          <w:sz w:val="24"/>
          <w:highlight w:val="none"/>
        </w:rPr>
      </w:pP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1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、安全柜基本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要求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：使用人数：1—2人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；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30%外排，70%循环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；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外部尺寸≥（L×D×H）1500mm×750mm×2250mm；内部尺寸≥（L×D×H）1350mm ×600mm×660mm 。</w:t>
      </w:r>
    </w:p>
    <w:p>
      <w:pPr>
        <w:widowControl/>
        <w:spacing w:before="0" w:after="0" w:line="500" w:lineRule="exact"/>
        <w:ind w:firstLine="0" w:firstLineChars="0"/>
        <w:jc w:val="left"/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kern w:val="2"/>
          <w:sz w:val="24"/>
          <w:highlight w:val="none"/>
          <w:lang w:val="en-US" w:eastAsia="zh-CN"/>
        </w:rPr>
        <w:t>20、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系统排风总量：520 m³/h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；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风速：平均下降风速：0.33±0.025m/s；平均吸入口风速0.53±0.025m/s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。</w:t>
      </w:r>
    </w:p>
    <w:p>
      <w:pPr>
        <w:widowControl/>
        <w:spacing w:before="0" w:after="0" w:line="500" w:lineRule="exact"/>
        <w:ind w:firstLine="0" w:firstLineChars="0"/>
        <w:jc w:val="left"/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kern w:val="2"/>
          <w:sz w:val="24"/>
          <w:highlight w:val="none"/>
          <w:lang w:val="en-US" w:eastAsia="zh-CN"/>
        </w:rPr>
        <w:t>21、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额定功率：1850W（包含操作区插座负载500W）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。</w:t>
      </w:r>
    </w:p>
    <w:p>
      <w:pPr>
        <w:widowControl/>
        <w:spacing w:before="0" w:after="0" w:line="500" w:lineRule="exact"/>
        <w:ind w:firstLine="0" w:firstLineChars="0"/>
        <w:jc w:val="left"/>
        <w:rPr>
          <w:rFonts w:hint="eastAsia" w:ascii="宋体" w:hAnsi="宋体" w:eastAsia="宋体" w:cs="宋体"/>
          <w:bCs/>
          <w:kern w:val="2"/>
          <w:sz w:val="24"/>
          <w:highlight w:val="none"/>
        </w:rPr>
      </w:pPr>
      <w:r>
        <w:rPr>
          <w:rFonts w:hint="eastAsia" w:ascii="宋体" w:hAnsi="宋体" w:eastAsia="宋体" w:cs="宋体"/>
          <w:bCs/>
          <w:kern w:val="2"/>
          <w:sz w:val="24"/>
          <w:highlight w:val="none"/>
          <w:lang w:val="en-US" w:eastAsia="zh-CN"/>
        </w:rPr>
        <w:t>22、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噪音等级：≤67dB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；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照明：≥1000lx</w:t>
      </w:r>
    </w:p>
    <w:p>
      <w:pPr>
        <w:widowControl/>
        <w:spacing w:before="0" w:after="0" w:line="500" w:lineRule="exact"/>
        <w:ind w:left="0" w:leftChars="0" w:firstLine="0" w:firstLineChars="0"/>
        <w:jc w:val="left"/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kern w:val="2"/>
          <w:sz w:val="24"/>
          <w:highlight w:val="none"/>
          <w:lang w:val="en-US" w:eastAsia="zh-CN"/>
        </w:rPr>
        <w:t>23、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★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过滤效率:送风和排风过滤器均采用世界知名品牌的硼硅酸盐玻璃纤维材质的ULPA高效过滤器，对0.12μm颗粒过滤效率≥99.9995%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。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kern w:val="2"/>
          <w:sz w:val="24"/>
          <w:highlight w:val="none"/>
          <w:lang w:val="en-US" w:eastAsia="zh-CN"/>
        </w:rPr>
        <w:t>24、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安全柜裸露工作区三侧壁板采用优质304#不锈钢一体化结构，内部可清洗部位采用8mm大圆角处理，易于清洁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。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kern w:val="2"/>
          <w:sz w:val="24"/>
          <w:highlight w:val="none"/>
          <w:lang w:val="en-US" w:eastAsia="zh-CN"/>
        </w:rPr>
        <w:t>25、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★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脚轮与支架一体化设计，安全柜即可通过脚轮安全移动，也可以通过调节脚轮支脚进行固定和调平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。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kern w:val="2"/>
          <w:sz w:val="24"/>
          <w:highlight w:val="none"/>
          <w:lang w:val="en-US" w:eastAsia="zh-CN"/>
        </w:rPr>
        <w:t>26、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★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前窗玻璃采用双层夹胶防爆安全玻璃；保护人员及实验的安全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；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kern w:val="2"/>
          <w:sz w:val="24"/>
          <w:highlight w:val="none"/>
          <w:lang w:val="en-US" w:eastAsia="zh-CN"/>
        </w:rPr>
        <w:t>27、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★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显示屏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可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全参数显示,实时动态显示操作区的下降气流流速和流入气流流速，显示安全柜的整体运行时间，UV灯的运行时间，操作区的温度和湿度，送风和排风过滤器的阻力，显示过滤器的使用时间并由条码显示过滤器的使用寿命，条码全部点亮是过滤器寿命到期，运行状态全部显示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。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kern w:val="2"/>
          <w:sz w:val="24"/>
          <w:highlight w:val="none"/>
        </w:rPr>
      </w:pPr>
      <w:r>
        <w:rPr>
          <w:rFonts w:hint="eastAsia" w:ascii="宋体" w:hAnsi="宋体" w:eastAsia="宋体" w:cs="宋体"/>
          <w:bCs/>
          <w:kern w:val="2"/>
          <w:sz w:val="24"/>
          <w:highlight w:val="none"/>
          <w:lang w:val="en-US" w:eastAsia="zh-CN"/>
        </w:rPr>
        <w:t>28、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脚踏电动、手动按键、遥控电动三种方式灵活控制玻璃门升降，玻璃门升降到安全操作高度时，自动停止升降，使操作方便；且玻璃门升降时不用直接接触玻璃，使实验人员安全；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kern w:val="2"/>
          <w:sz w:val="24"/>
          <w:highlight w:val="none"/>
          <w:lang w:val="en-US" w:eastAsia="zh-CN"/>
        </w:rPr>
        <w:t>29、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气密性检测：安全柜内加压500Pa，保持30min后气压不低于450Pa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。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kern w:val="2"/>
          <w:sz w:val="24"/>
          <w:highlight w:val="none"/>
          <w:lang w:val="en-US" w:eastAsia="zh-CN"/>
        </w:rPr>
        <w:t>30、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具有预约定时功能，能自动设定安全柜定时开机、关机及紫外灯消毒时间，大大节省了工作时间，提高了工作效率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。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kern w:val="2"/>
          <w:sz w:val="24"/>
          <w:highlight w:val="none"/>
          <w:lang w:val="en-US" w:eastAsia="zh-CN"/>
        </w:rPr>
        <w:t>31、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报警系统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包含：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玻璃门不在安全高度报警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过滤器压力超高报警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过滤器失效更换报警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气流波动报警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。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kern w:val="2"/>
          <w:sz w:val="24"/>
          <w:highlight w:val="none"/>
          <w:lang w:val="en-US" w:eastAsia="zh-CN"/>
        </w:rPr>
        <w:t>32、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连锁保护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安全柜风机与玻璃门互锁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</w:rPr>
        <w:t>紫外灯与安全柜玻璃门、风机及照明灯互锁</w:t>
      </w:r>
      <w:r>
        <w:rPr>
          <w:rFonts w:hint="eastAsia" w:ascii="宋体" w:hAnsi="宋体" w:eastAsia="宋体" w:cs="宋体"/>
          <w:bCs/>
          <w:kern w:val="2"/>
          <w:sz w:val="24"/>
          <w:highlight w:val="none"/>
          <w:lang w:eastAsia="zh-CN"/>
        </w:rPr>
        <w:t>。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33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、质保期不小于5年。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500" w:lineRule="exact"/>
        <w:jc w:val="left"/>
        <w:rPr>
          <w:rFonts w:hint="eastAsia" w:ascii="宋体" w:hAnsi="宋体" w:eastAsia="宋体" w:cs="宋体"/>
          <w:b w:val="0"/>
          <w:bCs/>
          <w:sz w:val="24"/>
          <w:highlight w:val="none"/>
        </w:rPr>
      </w:pPr>
    </w:p>
    <w:p>
      <w:pPr>
        <w:pStyle w:val="2"/>
        <w:rPr>
          <w:rFonts w:hint="eastAsia" w:ascii="华文中宋" w:hAnsi="华文中宋" w:eastAsia="华文中宋"/>
          <w:b/>
          <w:sz w:val="32"/>
        </w:rPr>
      </w:pPr>
    </w:p>
    <w:p>
      <w:pPr>
        <w:pStyle w:val="3"/>
        <w:rPr>
          <w:rFonts w:hint="eastAsia" w:ascii="华文中宋" w:hAnsi="华文中宋" w:eastAsia="华文中宋"/>
          <w:b/>
          <w:sz w:val="32"/>
        </w:rPr>
      </w:pPr>
    </w:p>
    <w:p>
      <w:pPr>
        <w:rPr>
          <w:rFonts w:hint="eastAsia" w:ascii="华文中宋" w:hAnsi="华文中宋" w:eastAsia="华文中宋"/>
          <w:b/>
          <w:sz w:val="32"/>
        </w:rPr>
      </w:pPr>
    </w:p>
    <w:p>
      <w:pPr>
        <w:pStyle w:val="2"/>
        <w:rPr>
          <w:rFonts w:hint="eastAsia" w:ascii="华文中宋" w:hAnsi="华文中宋" w:eastAsia="华文中宋"/>
          <w:b/>
          <w:sz w:val="32"/>
        </w:rPr>
      </w:pPr>
    </w:p>
    <w:p>
      <w:pPr>
        <w:pStyle w:val="3"/>
        <w:rPr>
          <w:rFonts w:hint="eastAsia" w:ascii="华文中宋" w:hAnsi="华文中宋" w:eastAsia="华文中宋"/>
          <w:b/>
          <w:sz w:val="32"/>
        </w:rPr>
      </w:pPr>
    </w:p>
    <w:p>
      <w:pPr>
        <w:rPr>
          <w:rFonts w:hint="eastAsia" w:ascii="华文中宋" w:hAnsi="华文中宋" w:eastAsia="华文中宋"/>
          <w:b/>
          <w:sz w:val="32"/>
        </w:rPr>
      </w:pPr>
    </w:p>
    <w:p>
      <w:pPr>
        <w:pStyle w:val="3"/>
        <w:rPr>
          <w:rFonts w:hint="eastAsia" w:ascii="华文中宋" w:hAnsi="华文中宋" w:eastAsia="华文中宋"/>
          <w:b/>
          <w:sz w:val="32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3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3"/>
        <w:rPr>
          <w:rFonts w:hint="eastAsia"/>
        </w:rPr>
      </w:pPr>
    </w:p>
    <w:p>
      <w:pPr>
        <w:rPr>
          <w:rFonts w:hint="eastAsia"/>
        </w:rPr>
      </w:pPr>
      <w:bookmarkStart w:id="2" w:name="_GoBack"/>
      <w:bookmarkEnd w:id="2"/>
    </w:p>
    <w:p>
      <w:pPr>
        <w:pStyle w:val="2"/>
        <w:rPr>
          <w:rFonts w:hint="eastAsia"/>
        </w:rPr>
      </w:pPr>
    </w:p>
    <w:p>
      <w:pPr>
        <w:pStyle w:val="3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DC61272"/>
    <w:rsid w:val="1C985A0D"/>
    <w:rsid w:val="2A0047E7"/>
    <w:rsid w:val="2B796EBE"/>
    <w:rsid w:val="300817D1"/>
    <w:rsid w:val="332B5D3D"/>
    <w:rsid w:val="38520016"/>
    <w:rsid w:val="3D3975AF"/>
    <w:rsid w:val="3D5529A7"/>
    <w:rsid w:val="3DBC3894"/>
    <w:rsid w:val="3EF03BAC"/>
    <w:rsid w:val="4962387D"/>
    <w:rsid w:val="4BBE6CC9"/>
    <w:rsid w:val="4E0B092A"/>
    <w:rsid w:val="5074152A"/>
    <w:rsid w:val="57CC719B"/>
    <w:rsid w:val="580C5456"/>
    <w:rsid w:val="591169FC"/>
    <w:rsid w:val="5A00477A"/>
    <w:rsid w:val="5FA81F61"/>
    <w:rsid w:val="627D77E8"/>
    <w:rsid w:val="6A7A7481"/>
    <w:rsid w:val="74324BCE"/>
    <w:rsid w:val="7B243E13"/>
    <w:rsid w:val="7C101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link w:val="19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link w:val="22"/>
    <w:semiHidden/>
    <w:unhideWhenUsed/>
    <w:qFormat/>
    <w:uiPriority w:val="99"/>
    <w:pPr>
      <w:ind w:left="100" w:leftChars="2500"/>
    </w:pPr>
  </w:style>
  <w:style w:type="paragraph" w:styleId="5">
    <w:name w:val="Normal Indent"/>
    <w:basedOn w:val="1"/>
    <w:qFormat/>
    <w:uiPriority w:val="0"/>
    <w:pPr>
      <w:ind w:firstLine="200" w:firstLineChars="200"/>
    </w:pPr>
  </w:style>
  <w:style w:type="paragraph" w:styleId="6">
    <w:name w:val="annotation text"/>
    <w:basedOn w:val="1"/>
    <w:semiHidden/>
    <w:unhideWhenUsed/>
    <w:uiPriority w:val="99"/>
    <w:pPr>
      <w:jc w:val="left"/>
    </w:pPr>
  </w:style>
  <w:style w:type="paragraph" w:styleId="7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table" w:styleId="12">
    <w:name w:val="Table Grid"/>
    <w:basedOn w:val="11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qFormat/>
    <w:uiPriority w:val="0"/>
  </w:style>
  <w:style w:type="character" w:styleId="15">
    <w:name w:val="Hyperlink"/>
    <w:basedOn w:val="13"/>
    <w:unhideWhenUsed/>
    <w:qFormat/>
    <w:uiPriority w:val="99"/>
    <w:rPr>
      <w:color w:val="0000FF" w:themeColor="hyperlink"/>
      <w:u w:val="single"/>
    </w:rPr>
  </w:style>
  <w:style w:type="character" w:customStyle="1" w:styleId="16">
    <w:name w:val="页眉 Char"/>
    <w:basedOn w:val="13"/>
    <w:link w:val="9"/>
    <w:qFormat/>
    <w:uiPriority w:val="99"/>
    <w:rPr>
      <w:sz w:val="18"/>
      <w:szCs w:val="18"/>
    </w:rPr>
  </w:style>
  <w:style w:type="character" w:customStyle="1" w:styleId="17">
    <w:name w:val="页脚 Char"/>
    <w:basedOn w:val="13"/>
    <w:link w:val="8"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标题 2 Char"/>
    <w:basedOn w:val="13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0">
    <w:name w:val="列出段落 Char"/>
    <w:link w:val="21"/>
    <w:qFormat/>
    <w:uiPriority w:val="34"/>
    <w:rPr>
      <w:rFonts w:ascii="宋体" w:hAnsi="宋体" w:cs="宋体"/>
      <w:sz w:val="24"/>
      <w:szCs w:val="24"/>
    </w:rPr>
  </w:style>
  <w:style w:type="paragraph" w:customStyle="1" w:styleId="21">
    <w:name w:val="列出段落1"/>
    <w:basedOn w:val="1"/>
    <w:link w:val="20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2">
    <w:name w:val="日期 Char"/>
    <w:basedOn w:val="13"/>
    <w:link w:val="3"/>
    <w:semiHidden/>
    <w:qFormat/>
    <w:uiPriority w:val="99"/>
  </w:style>
  <w:style w:type="character" w:customStyle="1" w:styleId="23">
    <w:name w:val="批注框文本 Char"/>
    <w:basedOn w:val="13"/>
    <w:link w:val="7"/>
    <w:semiHidden/>
    <w:qFormat/>
    <w:uiPriority w:val="99"/>
    <w:rPr>
      <w:sz w:val="18"/>
      <w:szCs w:val="18"/>
    </w:rPr>
  </w:style>
  <w:style w:type="character" w:customStyle="1" w:styleId="24">
    <w:name w:val="font0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5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26">
    <w:name w:val="样式 首行缩进:  2 字符"/>
    <w:basedOn w:val="1"/>
    <w:qFormat/>
    <w:uiPriority w:val="99"/>
    <w:pPr>
      <w:spacing w:line="400" w:lineRule="exact"/>
      <w:ind w:firstLine="200" w:firstLineChars="200"/>
    </w:pPr>
    <w:rPr>
      <w:rFonts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4474</Words>
  <Characters>4938</Characters>
  <Lines>14</Lines>
  <Paragraphs>4</Paragraphs>
  <TotalTime>9</TotalTime>
  <ScaleCrop>false</ScaleCrop>
  <LinksUpToDate>false</LinksUpToDate>
  <CharactersWithSpaces>5116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2022-06-20T08:08:00Z</cp:lastPrinted>
  <dcterms:modified xsi:type="dcterms:W3CDTF">2022-09-26T07:34:43Z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EC3FD689C5D342D799BD160DC760BFDB</vt:lpwstr>
  </property>
</Properties>
</file>