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Arial" w:hAnsi="Arial" w:eastAsia="黑体" w:cs="Times New Roman"/>
          <w:b/>
          <w:bCs/>
          <w:sz w:val="32"/>
          <w:szCs w:val="32"/>
        </w:rPr>
      </w:pPr>
      <w:bookmarkStart w:id="0" w:name="_Hlt101233737"/>
      <w:bookmarkEnd w:id="0"/>
      <w:bookmarkStart w:id="1" w:name="_Hlt101843627"/>
      <w:bookmarkEnd w:id="1"/>
      <w:r>
        <w:rPr>
          <w:rFonts w:hint="eastAsia" w:ascii="Arial" w:hAnsi="Arial" w:eastAsia="黑体" w:cs="Times New Roman"/>
          <w:b/>
          <w:bCs/>
          <w:sz w:val="32"/>
          <w:szCs w:val="32"/>
        </w:rPr>
        <w:t>附件1：</w:t>
      </w:r>
      <w:bookmarkStart w:id="2" w:name="_GoBack"/>
      <w:r>
        <w:rPr>
          <w:rFonts w:hint="eastAsia" w:ascii="Arial" w:hAnsi="Arial" w:eastAsia="黑体" w:cs="Times New Roman"/>
          <w:b/>
          <w:bCs/>
          <w:sz w:val="32"/>
          <w:szCs w:val="32"/>
          <w:lang w:val="en-US" w:eastAsia="zh-CN"/>
        </w:rPr>
        <w:t>项目</w:t>
      </w:r>
      <w:r>
        <w:rPr>
          <w:rFonts w:hint="eastAsia" w:ascii="Arial" w:hAnsi="Arial" w:eastAsia="黑体" w:cs="Times New Roman"/>
          <w:b/>
          <w:bCs/>
          <w:sz w:val="32"/>
          <w:szCs w:val="32"/>
        </w:rPr>
        <w:t>需求</w:t>
      </w:r>
    </w:p>
    <w:bookmarkEnd w:id="2"/>
    <w:p>
      <w:pPr>
        <w:spacing w:line="500" w:lineRule="exact"/>
        <w:rPr>
          <w:rFonts w:hint="default" w:ascii="宋体" w:hAnsi="宋体" w:eastAsia="宋体" w:cs="宋体"/>
          <w:sz w:val="24"/>
          <w:highlight w:val="none"/>
          <w:lang w:val="en-US" w:eastAsia="zh-CN"/>
        </w:rPr>
      </w:pPr>
      <w:r>
        <w:rPr>
          <w:rFonts w:hint="eastAsia" w:ascii="宋体" w:hAnsi="宋体" w:eastAsia="宋体" w:cs="宋体"/>
          <w:b w:val="0"/>
          <w:bCs w:val="0"/>
          <w:sz w:val="24"/>
          <w:szCs w:val="22"/>
          <w:highlight w:val="none"/>
          <w:lang w:eastAsia="zh-CN"/>
        </w:rPr>
        <w:t>（</w:t>
      </w:r>
      <w:r>
        <w:rPr>
          <w:rFonts w:hint="eastAsia" w:ascii="宋体" w:hAnsi="宋体" w:eastAsia="宋体" w:cs="宋体"/>
          <w:sz w:val="24"/>
          <w:highlight w:val="none"/>
        </w:rPr>
        <w:t>本章中标注“*”的条款为本项目的实质性条款，投标人不满足的，将按照无效投标处理。</w:t>
      </w:r>
      <w:r>
        <w:rPr>
          <w:rFonts w:hint="eastAsia" w:ascii="宋体" w:hAnsi="宋体" w:eastAsia="宋体" w:cs="宋体"/>
          <w:b w:val="0"/>
          <w:bCs w:val="0"/>
          <w:sz w:val="24"/>
          <w:szCs w:val="22"/>
          <w:highlight w:val="none"/>
          <w:lang w:eastAsia="zh-CN"/>
        </w:rPr>
        <w:t>）</w:t>
      </w:r>
      <w:r>
        <w:rPr>
          <w:rFonts w:hint="eastAsia" w:ascii="宋体" w:hAnsi="宋体" w:eastAsia="宋体" w:cs="宋体"/>
          <w:b w:val="0"/>
          <w:bCs w:val="0"/>
          <w:sz w:val="24"/>
          <w:szCs w:val="22"/>
          <w:highlight w:val="none"/>
          <w:lang w:val="en-US" w:eastAsia="zh-CN"/>
        </w:rPr>
        <w:t xml:space="preserve">  </w:t>
      </w:r>
    </w:p>
    <w:p>
      <w:pPr>
        <w:spacing w:line="500" w:lineRule="exact"/>
        <w:rPr>
          <w:rFonts w:hint="eastAsia" w:ascii="宋体" w:hAnsi="宋体" w:eastAsia="宋体" w:cs="宋体"/>
          <w:b w:val="0"/>
          <w:bCs w:val="0"/>
          <w:sz w:val="24"/>
          <w:szCs w:val="22"/>
          <w:highlight w:val="none"/>
          <w:lang w:eastAsia="zh-CN"/>
        </w:rPr>
      </w:pPr>
      <w:r>
        <w:rPr>
          <w:rFonts w:hint="eastAsia" w:ascii="宋体" w:hAnsi="宋体" w:eastAsia="宋体" w:cs="宋体"/>
          <w:b/>
          <w:bCs/>
          <w:sz w:val="24"/>
          <w:szCs w:val="22"/>
          <w:highlight w:val="none"/>
          <w:lang w:val="en-US" w:eastAsia="zh-CN"/>
        </w:rPr>
        <w:t>一、</w:t>
      </w:r>
      <w:r>
        <w:rPr>
          <w:rFonts w:hint="eastAsia" w:ascii="宋体" w:hAnsi="宋体" w:eastAsia="宋体" w:cs="宋体"/>
          <w:b/>
          <w:bCs/>
          <w:sz w:val="24"/>
          <w:szCs w:val="22"/>
          <w:highlight w:val="none"/>
        </w:rPr>
        <w:t>项目概述</w:t>
      </w:r>
      <w:r>
        <w:rPr>
          <w:rFonts w:hint="eastAsia" w:ascii="宋体" w:hAnsi="宋体" w:eastAsia="宋体" w:cs="宋体"/>
          <w:b/>
          <w:bCs/>
          <w:sz w:val="24"/>
          <w:szCs w:val="22"/>
          <w:highlight w:val="none"/>
          <w:lang w:eastAsia="zh-CN"/>
        </w:rPr>
        <w:t>：</w:t>
      </w:r>
    </w:p>
    <w:p>
      <w:pPr>
        <w:spacing w:line="500" w:lineRule="exact"/>
        <w:ind w:firstLine="480" w:firstLineChars="200"/>
        <w:rPr>
          <w:rFonts w:hint="eastAsia" w:ascii="宋体" w:hAnsi="宋体" w:eastAsia="宋体" w:cs="宋体"/>
          <w:sz w:val="24"/>
          <w:szCs w:val="22"/>
          <w:highlight w:val="none"/>
        </w:rPr>
      </w:pPr>
      <w:r>
        <w:rPr>
          <w:rFonts w:hint="eastAsia" w:ascii="宋体" w:hAnsi="宋体" w:eastAsia="宋体" w:cs="宋体"/>
          <w:sz w:val="24"/>
          <w:szCs w:val="22"/>
          <w:highlight w:val="none"/>
        </w:rPr>
        <w:t>本项目</w:t>
      </w:r>
      <w:r>
        <w:rPr>
          <w:rFonts w:hint="eastAsia" w:ascii="宋体" w:hAnsi="宋体" w:eastAsia="宋体" w:cs="宋体"/>
          <w:sz w:val="24"/>
          <w:szCs w:val="22"/>
          <w:highlight w:val="none"/>
          <w:lang w:val="en-US" w:eastAsia="zh-CN"/>
        </w:rPr>
        <w:t>1</w:t>
      </w:r>
      <w:r>
        <w:rPr>
          <w:rFonts w:hint="eastAsia" w:ascii="宋体" w:hAnsi="宋体" w:eastAsia="宋体" w:cs="宋体"/>
          <w:sz w:val="24"/>
          <w:szCs w:val="22"/>
          <w:highlight w:val="none"/>
        </w:rPr>
        <w:t>个包，采购成都市龙泉驿区妇幼保健院</w:t>
      </w:r>
      <w:r>
        <w:rPr>
          <w:rFonts w:hint="eastAsia" w:ascii="宋体" w:hAnsi="宋体" w:eastAsia="宋体" w:cs="宋体"/>
          <w:sz w:val="24"/>
          <w:szCs w:val="22"/>
          <w:highlight w:val="none"/>
          <w:lang w:val="en-US" w:eastAsia="zh-CN"/>
        </w:rPr>
        <w:t>发热门诊输液区消毒设备一批</w:t>
      </w:r>
      <w:r>
        <w:rPr>
          <w:rFonts w:hint="eastAsia" w:ascii="宋体" w:hAnsi="宋体" w:eastAsia="宋体" w:cs="宋体"/>
          <w:sz w:val="24"/>
          <w:szCs w:val="22"/>
          <w:highlight w:val="none"/>
        </w:rPr>
        <w:t>，具体内容如下：</w:t>
      </w:r>
    </w:p>
    <w:tbl>
      <w:tblPr>
        <w:tblStyle w:val="12"/>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2137"/>
        <w:gridCol w:w="763"/>
        <w:gridCol w:w="787"/>
        <w:gridCol w:w="2150"/>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722"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rPr>
              <w:t>包号</w:t>
            </w:r>
          </w:p>
        </w:tc>
        <w:tc>
          <w:tcPr>
            <w:tcW w:w="2137"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lang w:eastAsia="zh-CN"/>
              </w:rPr>
              <w:t>设备名称</w:t>
            </w:r>
          </w:p>
        </w:tc>
        <w:tc>
          <w:tcPr>
            <w:tcW w:w="763"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rPr>
              <w:t>数量</w:t>
            </w:r>
          </w:p>
        </w:tc>
        <w:tc>
          <w:tcPr>
            <w:tcW w:w="787"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rPr>
              <w:t>单位</w:t>
            </w:r>
          </w:p>
        </w:tc>
        <w:tc>
          <w:tcPr>
            <w:tcW w:w="2150"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rPr>
              <w:t>单价最高限价(元)</w:t>
            </w:r>
          </w:p>
        </w:tc>
        <w:tc>
          <w:tcPr>
            <w:tcW w:w="2196" w:type="dxa"/>
            <w:tcBorders>
              <w:tl2br w:val="nil"/>
              <w:tr2bl w:val="nil"/>
            </w:tcBorders>
            <w:vAlign w:val="center"/>
          </w:tcPr>
          <w:p>
            <w:pPr>
              <w:widowControl/>
              <w:jc w:val="center"/>
              <w:rPr>
                <w:rFonts w:hint="eastAsia" w:ascii="宋体" w:hAnsi="宋体" w:eastAsia="宋体" w:cs="宋体"/>
                <w:b/>
                <w:bCs/>
                <w:color w:val="000000" w:themeColor="text1"/>
                <w:kern w:val="0"/>
                <w:sz w:val="24"/>
                <w:highlight w:val="none"/>
              </w:rPr>
            </w:pPr>
            <w:r>
              <w:rPr>
                <w:rFonts w:hint="eastAsia" w:ascii="宋体" w:hAnsi="宋体" w:eastAsia="宋体" w:cs="宋体"/>
                <w:b/>
                <w:bCs/>
                <w:color w:val="000000" w:themeColor="text1"/>
                <w:kern w:val="0"/>
                <w:sz w:val="24"/>
                <w:highlight w:val="none"/>
              </w:rPr>
              <w:t>总价最高限价（元）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2" w:type="dxa"/>
            <w:vMerge w:val="restart"/>
            <w:tcBorders>
              <w:tl2br w:val="nil"/>
              <w:tr2bl w:val="nil"/>
            </w:tcBorders>
            <w:vAlign w:val="center"/>
          </w:tcPr>
          <w:p>
            <w:pPr>
              <w:widowControl/>
              <w:jc w:val="center"/>
              <w:rPr>
                <w:rFonts w:hint="eastAsia" w:ascii="宋体" w:hAnsi="宋体" w:eastAsia="宋体" w:cs="宋体"/>
                <w:color w:val="000000" w:themeColor="text1"/>
                <w:kern w:val="0"/>
                <w:sz w:val="24"/>
                <w:highlight w:val="none"/>
                <w:lang w:val="en-US" w:eastAsia="zh-CN"/>
              </w:rPr>
            </w:pPr>
            <w:r>
              <w:rPr>
                <w:rFonts w:hint="eastAsia" w:ascii="宋体" w:hAnsi="宋体" w:eastAsia="宋体" w:cs="宋体"/>
                <w:color w:val="000000" w:themeColor="text1"/>
                <w:kern w:val="0"/>
                <w:sz w:val="24"/>
                <w:highlight w:val="none"/>
                <w:lang w:val="en-US" w:eastAsia="zh-CN"/>
              </w:rPr>
              <w:t>1</w:t>
            </w:r>
          </w:p>
        </w:tc>
        <w:tc>
          <w:tcPr>
            <w:tcW w:w="2137" w:type="dxa"/>
            <w:tcBorders>
              <w:tl2br w:val="nil"/>
              <w:tr2bl w:val="nil"/>
            </w:tcBorders>
            <w:vAlign w:val="center"/>
          </w:tcPr>
          <w:p>
            <w:pPr>
              <w:widowControl/>
              <w:spacing w:line="240" w:lineRule="auto"/>
              <w:ind w:firstLine="0" w:firstLineChars="0"/>
              <w:jc w:val="center"/>
              <w:rPr>
                <w:rFonts w:hint="eastAsia" w:ascii="宋体" w:hAnsi="宋体" w:eastAsia="宋体" w:cs="宋体"/>
                <w:color w:val="000000" w:themeColor="text1"/>
                <w:kern w:val="0"/>
                <w:sz w:val="24"/>
                <w:szCs w:val="22"/>
                <w:highlight w:val="none"/>
                <w:lang w:eastAsia="zh-CN"/>
              </w:rPr>
            </w:pPr>
            <w:r>
              <w:rPr>
                <w:rFonts w:hint="eastAsia" w:ascii="宋体" w:hAnsi="宋体" w:eastAsia="宋体" w:cs="宋体"/>
                <w:b w:val="0"/>
                <w:bCs w:val="0"/>
                <w:color w:val="000000" w:themeColor="text1"/>
                <w:kern w:val="0"/>
                <w:sz w:val="24"/>
                <w:szCs w:val="22"/>
                <w:highlight w:val="none"/>
                <w:vertAlign w:val="baseline"/>
                <w:lang w:val="en-US" w:eastAsia="zh-CN"/>
              </w:rPr>
              <w:t>空气消毒机</w:t>
            </w:r>
          </w:p>
        </w:tc>
        <w:tc>
          <w:tcPr>
            <w:tcW w:w="763" w:type="dxa"/>
            <w:tcBorders>
              <w:tl2br w:val="nil"/>
              <w:tr2bl w:val="nil"/>
            </w:tcBorders>
            <w:vAlign w:val="center"/>
          </w:tcPr>
          <w:p>
            <w:pPr>
              <w:widowControl/>
              <w:spacing w:line="240" w:lineRule="auto"/>
              <w:ind w:firstLine="0" w:firstLineChars="0"/>
              <w:jc w:val="center"/>
              <w:rPr>
                <w:rFonts w:hint="eastAsia" w:ascii="宋体" w:hAnsi="宋体" w:eastAsia="宋体" w:cs="宋体"/>
                <w:b w:val="0"/>
                <w:bCs w:val="0"/>
                <w:color w:val="000000" w:themeColor="text1"/>
                <w:kern w:val="0"/>
                <w:sz w:val="24"/>
                <w:szCs w:val="22"/>
                <w:highlight w:val="none"/>
                <w:vertAlign w:val="baseline"/>
                <w:lang w:val="en-US" w:eastAsia="zh-CN"/>
              </w:rPr>
            </w:pPr>
            <w:r>
              <w:rPr>
                <w:rFonts w:hint="eastAsia" w:ascii="宋体" w:hAnsi="宋体" w:eastAsia="宋体" w:cs="宋体"/>
                <w:b w:val="0"/>
                <w:bCs w:val="0"/>
                <w:color w:val="000000" w:themeColor="text1"/>
                <w:kern w:val="0"/>
                <w:sz w:val="24"/>
                <w:szCs w:val="22"/>
                <w:highlight w:val="none"/>
                <w:vertAlign w:val="baseline"/>
                <w:lang w:val="en-US" w:eastAsia="zh-CN"/>
              </w:rPr>
              <w:t>10</w:t>
            </w:r>
          </w:p>
        </w:tc>
        <w:tc>
          <w:tcPr>
            <w:tcW w:w="787" w:type="dxa"/>
            <w:tcBorders>
              <w:tl2br w:val="nil"/>
              <w:tr2bl w:val="nil"/>
            </w:tcBorders>
            <w:noWrap/>
            <w:vAlign w:val="center"/>
          </w:tcPr>
          <w:p>
            <w:pPr>
              <w:widowControl/>
              <w:spacing w:line="240" w:lineRule="auto"/>
              <w:ind w:firstLine="0" w:firstLineChars="0"/>
              <w:jc w:val="center"/>
              <w:rPr>
                <w:rFonts w:hint="eastAsia" w:ascii="宋体" w:hAnsi="宋体" w:eastAsia="宋体" w:cs="宋体"/>
                <w:b w:val="0"/>
                <w:bCs w:val="0"/>
                <w:color w:val="000000" w:themeColor="text1"/>
                <w:kern w:val="0"/>
                <w:sz w:val="24"/>
                <w:szCs w:val="22"/>
                <w:highlight w:val="none"/>
                <w:vertAlign w:val="baseline"/>
                <w:lang w:val="en-US" w:eastAsia="zh-CN"/>
              </w:rPr>
            </w:pPr>
            <w:r>
              <w:rPr>
                <w:rFonts w:hint="eastAsia" w:ascii="宋体" w:hAnsi="宋体" w:eastAsia="宋体" w:cs="宋体"/>
                <w:b w:val="0"/>
                <w:bCs w:val="0"/>
                <w:color w:val="000000" w:themeColor="text1"/>
                <w:kern w:val="0"/>
                <w:sz w:val="24"/>
                <w:szCs w:val="22"/>
                <w:highlight w:val="none"/>
                <w:vertAlign w:val="baseline"/>
                <w:lang w:val="en-US" w:eastAsia="zh-CN"/>
              </w:rPr>
              <w:t>台</w:t>
            </w:r>
          </w:p>
        </w:tc>
        <w:tc>
          <w:tcPr>
            <w:tcW w:w="2150" w:type="dxa"/>
            <w:tcBorders>
              <w:tl2br w:val="nil"/>
              <w:tr2bl w:val="nil"/>
            </w:tcBorders>
            <w:noWrap/>
            <w:vAlign w:val="center"/>
          </w:tcPr>
          <w:p>
            <w:pPr>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b w:val="0"/>
                <w:bCs w:val="0"/>
                <w:sz w:val="24"/>
                <w:szCs w:val="24"/>
                <w:vertAlign w:val="baseline"/>
                <w:lang w:val="en-US" w:eastAsia="zh-CN"/>
              </w:rPr>
              <w:t>5000.00</w:t>
            </w:r>
          </w:p>
        </w:tc>
        <w:tc>
          <w:tcPr>
            <w:tcW w:w="2196" w:type="dxa"/>
            <w:vMerge w:val="restart"/>
            <w:tcBorders>
              <w:tl2br w:val="nil"/>
              <w:tr2bl w:val="nil"/>
            </w:tcBorders>
            <w:vAlign w:val="center"/>
          </w:tcPr>
          <w:p>
            <w:pPr>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sz w:val="24"/>
                <w:szCs w:val="24"/>
                <w:lang w:val="en-US" w:eastAsia="zh-CN"/>
              </w:rPr>
              <w:t>76000.00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2" w:type="dxa"/>
            <w:vMerge w:val="continue"/>
            <w:tcBorders>
              <w:tl2br w:val="nil"/>
              <w:tr2bl w:val="nil"/>
            </w:tcBorders>
            <w:vAlign w:val="center"/>
          </w:tcPr>
          <w:p>
            <w:pPr>
              <w:widowControl/>
              <w:jc w:val="center"/>
              <w:rPr>
                <w:rFonts w:hint="eastAsia" w:ascii="宋体" w:hAnsi="宋体" w:eastAsia="宋体" w:cs="宋体"/>
                <w:color w:val="000000" w:themeColor="text1"/>
                <w:kern w:val="0"/>
                <w:sz w:val="24"/>
                <w:highlight w:val="none"/>
                <w:lang w:eastAsia="zh-CN"/>
              </w:rPr>
            </w:pPr>
          </w:p>
        </w:tc>
        <w:tc>
          <w:tcPr>
            <w:tcW w:w="2137" w:type="dxa"/>
            <w:tcBorders>
              <w:tl2br w:val="nil"/>
              <w:tr2bl w:val="nil"/>
            </w:tcBorders>
            <w:vAlign w:val="center"/>
          </w:tcPr>
          <w:p>
            <w:pPr>
              <w:widowControl/>
              <w:spacing w:line="240" w:lineRule="auto"/>
              <w:ind w:firstLine="0" w:firstLineChars="0"/>
              <w:jc w:val="center"/>
              <w:rPr>
                <w:rFonts w:hint="eastAsia" w:ascii="宋体" w:hAnsi="宋体" w:eastAsia="宋体" w:cs="宋体"/>
                <w:b w:val="0"/>
                <w:bCs w:val="0"/>
                <w:color w:val="000000" w:themeColor="text1"/>
                <w:kern w:val="0"/>
                <w:sz w:val="24"/>
                <w:szCs w:val="22"/>
                <w:highlight w:val="none"/>
                <w:vertAlign w:val="baseline"/>
                <w:lang w:val="en-US" w:eastAsia="zh-CN"/>
              </w:rPr>
            </w:pPr>
            <w:r>
              <w:rPr>
                <w:rFonts w:hint="eastAsia" w:ascii="宋体" w:hAnsi="宋体" w:eastAsia="宋体" w:cs="宋体"/>
                <w:b w:val="0"/>
                <w:bCs w:val="0"/>
                <w:color w:val="000000" w:themeColor="text1"/>
                <w:kern w:val="0"/>
                <w:sz w:val="24"/>
                <w:szCs w:val="22"/>
                <w:highlight w:val="none"/>
                <w:vertAlign w:val="baseline"/>
                <w:lang w:val="en-US" w:eastAsia="zh-CN"/>
              </w:rPr>
              <w:t>超低容量消毒机</w:t>
            </w:r>
          </w:p>
          <w:p>
            <w:pPr>
              <w:widowControl/>
              <w:spacing w:line="240" w:lineRule="auto"/>
              <w:ind w:firstLine="0" w:firstLineChars="0"/>
              <w:jc w:val="center"/>
              <w:rPr>
                <w:rFonts w:hint="eastAsia" w:ascii="宋体" w:hAnsi="宋体" w:eastAsia="宋体" w:cs="宋体"/>
                <w:color w:val="000000" w:themeColor="text1"/>
                <w:kern w:val="0"/>
                <w:sz w:val="24"/>
                <w:szCs w:val="22"/>
                <w:highlight w:val="none"/>
              </w:rPr>
            </w:pPr>
            <w:r>
              <w:rPr>
                <w:rFonts w:hint="eastAsia" w:ascii="宋体" w:hAnsi="宋体" w:eastAsia="宋体" w:cs="宋体"/>
                <w:b w:val="0"/>
                <w:bCs w:val="0"/>
                <w:color w:val="000000" w:themeColor="text1"/>
                <w:kern w:val="0"/>
                <w:sz w:val="24"/>
                <w:szCs w:val="22"/>
                <w:highlight w:val="none"/>
                <w:vertAlign w:val="baseline"/>
                <w:lang w:val="en-US" w:eastAsia="zh-CN"/>
              </w:rPr>
              <w:t>（气溶胶喷雾器）</w:t>
            </w:r>
          </w:p>
        </w:tc>
        <w:tc>
          <w:tcPr>
            <w:tcW w:w="763" w:type="dxa"/>
            <w:tcBorders>
              <w:tl2br w:val="nil"/>
              <w:tr2bl w:val="nil"/>
            </w:tcBorders>
            <w:vAlign w:val="center"/>
          </w:tcPr>
          <w:p>
            <w:pPr>
              <w:widowControl/>
              <w:spacing w:line="240" w:lineRule="auto"/>
              <w:ind w:firstLine="0" w:firstLineChars="0"/>
              <w:jc w:val="center"/>
              <w:rPr>
                <w:rFonts w:hint="eastAsia" w:ascii="宋体" w:hAnsi="宋体" w:eastAsia="宋体" w:cs="宋体"/>
                <w:b w:val="0"/>
                <w:bCs w:val="0"/>
                <w:color w:val="000000" w:themeColor="text1"/>
                <w:kern w:val="0"/>
                <w:sz w:val="24"/>
                <w:szCs w:val="22"/>
                <w:highlight w:val="none"/>
                <w:vertAlign w:val="baseline"/>
                <w:lang w:val="en-US" w:eastAsia="zh-CN"/>
              </w:rPr>
            </w:pPr>
            <w:r>
              <w:rPr>
                <w:rFonts w:hint="eastAsia" w:ascii="宋体" w:hAnsi="宋体" w:eastAsia="宋体" w:cs="宋体"/>
                <w:b w:val="0"/>
                <w:bCs w:val="0"/>
                <w:color w:val="000000" w:themeColor="text1"/>
                <w:kern w:val="0"/>
                <w:sz w:val="24"/>
                <w:szCs w:val="22"/>
                <w:highlight w:val="none"/>
                <w:vertAlign w:val="baseline"/>
                <w:lang w:val="en-US" w:eastAsia="zh-CN"/>
              </w:rPr>
              <w:t>2</w:t>
            </w:r>
          </w:p>
        </w:tc>
        <w:tc>
          <w:tcPr>
            <w:tcW w:w="787" w:type="dxa"/>
            <w:tcBorders>
              <w:tl2br w:val="nil"/>
              <w:tr2bl w:val="nil"/>
            </w:tcBorders>
            <w:noWrap/>
            <w:vAlign w:val="center"/>
          </w:tcPr>
          <w:p>
            <w:pPr>
              <w:widowControl/>
              <w:spacing w:line="240" w:lineRule="auto"/>
              <w:ind w:firstLine="0" w:firstLineChars="0"/>
              <w:jc w:val="center"/>
              <w:rPr>
                <w:rFonts w:hint="eastAsia" w:ascii="宋体" w:hAnsi="宋体" w:eastAsia="宋体" w:cs="宋体"/>
                <w:b w:val="0"/>
                <w:bCs w:val="0"/>
                <w:color w:val="000000" w:themeColor="text1"/>
                <w:kern w:val="0"/>
                <w:sz w:val="24"/>
                <w:szCs w:val="22"/>
                <w:highlight w:val="none"/>
                <w:vertAlign w:val="baseline"/>
                <w:lang w:val="en-US" w:eastAsia="zh-CN"/>
              </w:rPr>
            </w:pPr>
            <w:r>
              <w:rPr>
                <w:rFonts w:hint="eastAsia" w:ascii="宋体" w:hAnsi="宋体" w:eastAsia="宋体" w:cs="宋体"/>
                <w:b w:val="0"/>
                <w:bCs w:val="0"/>
                <w:color w:val="000000" w:themeColor="text1"/>
                <w:kern w:val="0"/>
                <w:sz w:val="24"/>
                <w:szCs w:val="22"/>
                <w:highlight w:val="none"/>
                <w:vertAlign w:val="baseline"/>
                <w:lang w:val="en-US" w:eastAsia="zh-CN"/>
              </w:rPr>
              <w:t>台</w:t>
            </w:r>
          </w:p>
        </w:tc>
        <w:tc>
          <w:tcPr>
            <w:tcW w:w="2150" w:type="dxa"/>
            <w:tcBorders>
              <w:tl2br w:val="nil"/>
              <w:tr2bl w:val="nil"/>
            </w:tcBorders>
            <w:noWrap/>
            <w:vAlign w:val="center"/>
          </w:tcPr>
          <w:p>
            <w:pPr>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b w:val="0"/>
                <w:bCs w:val="0"/>
                <w:sz w:val="24"/>
                <w:szCs w:val="24"/>
                <w:vertAlign w:val="baseline"/>
                <w:lang w:val="en-US" w:eastAsia="zh-CN"/>
              </w:rPr>
              <w:t>13000.00</w:t>
            </w:r>
          </w:p>
        </w:tc>
        <w:tc>
          <w:tcPr>
            <w:tcW w:w="2196" w:type="dxa"/>
            <w:vMerge w:val="continue"/>
            <w:tcBorders>
              <w:tl2br w:val="nil"/>
              <w:tr2bl w:val="nil"/>
            </w:tcBorders>
            <w:vAlign w:val="center"/>
          </w:tcPr>
          <w:p>
            <w:pPr>
              <w:jc w:val="center"/>
              <w:rPr>
                <w:rFonts w:hint="eastAsia" w:ascii="宋体" w:hAnsi="宋体" w:eastAsia="宋体" w:cs="宋体"/>
                <w:color w:val="000000" w:themeColor="text1"/>
                <w:kern w:val="0"/>
                <w:sz w:val="24"/>
                <w:szCs w:val="24"/>
                <w:highlight w:val="none"/>
                <w:lang w:val="en-US" w:eastAsia="zh-CN"/>
              </w:rPr>
            </w:pPr>
          </w:p>
        </w:tc>
      </w:tr>
    </w:tbl>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0" w:firstLineChars="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Cs/>
          <w:sz w:val="24"/>
          <w:highlight w:val="none"/>
        </w:rPr>
        <w:t>*</w:t>
      </w:r>
      <w:r>
        <w:rPr>
          <w:rFonts w:hint="eastAsia" w:ascii="宋体" w:hAnsi="宋体" w:eastAsia="宋体" w:cs="宋体"/>
          <w:b/>
          <w:bCs/>
          <w:sz w:val="24"/>
          <w:szCs w:val="22"/>
          <w:highlight w:val="none"/>
          <w:lang w:val="en-US" w:eastAsia="zh-CN"/>
        </w:rPr>
        <w:t>二、商务要求：</w:t>
      </w:r>
    </w:p>
    <w:p>
      <w:pPr>
        <w:keepNext w:val="0"/>
        <w:keepLines w:val="0"/>
        <w:pageBreakBefore w:val="0"/>
        <w:widowControl w:val="0"/>
        <w:kinsoku/>
        <w:wordWrap/>
        <w:overflowPunct/>
        <w:topLinePunct w:val="0"/>
        <w:autoSpaceDE/>
        <w:autoSpaceDN/>
        <w:bidi w:val="0"/>
        <w:adjustRightInd/>
        <w:spacing w:line="400" w:lineRule="exact"/>
        <w:ind w:firstLine="0" w:firstLineChars="0"/>
        <w:rPr>
          <w:rFonts w:hint="eastAsia" w:ascii="宋体" w:hAnsi="宋体" w:eastAsia="宋体" w:cs="宋体"/>
          <w:bCs/>
          <w:sz w:val="24"/>
          <w:highlight w:val="none"/>
        </w:rPr>
      </w:pPr>
      <w:r>
        <w:rPr>
          <w:rFonts w:hint="eastAsia" w:ascii="宋体" w:hAnsi="宋体" w:eastAsia="宋体" w:cs="宋体"/>
          <w:bCs/>
          <w:sz w:val="24"/>
          <w:highlight w:val="none"/>
        </w:rPr>
        <w:t>1．交货期及地点</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sz w:val="24"/>
          <w:highlight w:val="none"/>
        </w:rPr>
      </w:pPr>
      <w:r>
        <w:rPr>
          <w:rFonts w:hint="eastAsia" w:ascii="宋体" w:hAnsi="宋体" w:eastAsia="宋体" w:cs="宋体"/>
          <w:sz w:val="24"/>
          <w:highlight w:val="none"/>
        </w:rPr>
        <w:t>1.1 交货期：合同签订生效后</w:t>
      </w:r>
      <w:r>
        <w:rPr>
          <w:rFonts w:hint="eastAsia" w:ascii="宋体" w:hAnsi="宋体" w:eastAsia="宋体" w:cs="宋体"/>
          <w:sz w:val="24"/>
          <w:highlight w:val="none"/>
          <w:lang w:val="en-US" w:eastAsia="zh-CN"/>
        </w:rPr>
        <w:t>10</w:t>
      </w:r>
      <w:r>
        <w:rPr>
          <w:rFonts w:hint="eastAsia" w:ascii="宋体" w:hAnsi="宋体" w:eastAsia="宋体" w:cs="宋体"/>
          <w:sz w:val="24"/>
          <w:highlight w:val="none"/>
        </w:rPr>
        <w:t xml:space="preserve">日内。 </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sz w:val="24"/>
          <w:highlight w:val="none"/>
        </w:rPr>
      </w:pPr>
      <w:r>
        <w:rPr>
          <w:rFonts w:hint="eastAsia" w:ascii="宋体" w:hAnsi="宋体" w:eastAsia="宋体" w:cs="宋体"/>
          <w:sz w:val="24"/>
          <w:highlight w:val="none"/>
        </w:rPr>
        <w:t>1.2 交货地点: 成都市龙泉驿区妇幼保健院</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bCs/>
          <w:sz w:val="24"/>
          <w:highlight w:val="none"/>
        </w:rPr>
      </w:pPr>
      <w:r>
        <w:rPr>
          <w:rFonts w:hint="eastAsia" w:ascii="宋体" w:hAnsi="宋体" w:eastAsia="宋体" w:cs="宋体"/>
          <w:bCs/>
          <w:sz w:val="24"/>
          <w:highlight w:val="none"/>
        </w:rPr>
        <w:t>2．付款方法和条件：</w:t>
      </w:r>
    </w:p>
    <w:p>
      <w:pPr>
        <w:pStyle w:val="27"/>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240" w:firstLineChars="100"/>
        <w:jc w:val="both"/>
        <w:textAlignment w:val="baseline"/>
        <w:rPr>
          <w:rFonts w:hAnsi="宋体"/>
          <w:b w:val="0"/>
          <w:i w:val="0"/>
          <w:caps w:val="0"/>
          <w:color w:val="000000" w:themeColor="text1"/>
          <w:spacing w:val="0"/>
          <w:w w:val="100"/>
          <w:sz w:val="24"/>
        </w:rPr>
      </w:pPr>
      <w:r>
        <w:rPr>
          <w:rFonts w:hint="eastAsia" w:ascii="宋体" w:hAnsi="宋体" w:eastAsia="宋体" w:cs="宋体"/>
          <w:bCs/>
          <w:sz w:val="24"/>
          <w:highlight w:val="none"/>
          <w:lang w:val="en-US" w:eastAsia="zh-CN"/>
        </w:rPr>
        <w:t xml:space="preserve">2.1 </w:t>
      </w:r>
      <w:r>
        <w:rPr>
          <w:rFonts w:hint="eastAsia" w:hAnsi="宋体"/>
          <w:b w:val="0"/>
          <w:i w:val="0"/>
          <w:caps w:val="0"/>
          <w:color w:val="000000" w:themeColor="text1"/>
          <w:spacing w:val="0"/>
          <w:w w:val="100"/>
          <w:sz w:val="24"/>
        </w:rPr>
        <w:t>合同签订后，</w:t>
      </w:r>
      <w:r>
        <w:rPr>
          <w:rFonts w:hint="eastAsia" w:hAnsi="宋体"/>
          <w:b w:val="0"/>
          <w:i w:val="0"/>
          <w:caps w:val="0"/>
          <w:color w:val="000000" w:themeColor="text1"/>
          <w:spacing w:val="0"/>
          <w:w w:val="100"/>
          <w:sz w:val="24"/>
          <w:lang w:eastAsia="zh-CN"/>
        </w:rPr>
        <w:t>货物到指定地点，</w:t>
      </w:r>
      <w:r>
        <w:rPr>
          <w:rFonts w:hint="eastAsia" w:hAnsi="宋体"/>
          <w:b w:val="0"/>
          <w:i w:val="0"/>
          <w:caps w:val="0"/>
          <w:color w:val="000000" w:themeColor="text1"/>
          <w:spacing w:val="0"/>
          <w:w w:val="100"/>
          <w:sz w:val="24"/>
        </w:rPr>
        <w:t>甲方接到乙方通知与票据凭证资料以后的</w:t>
      </w:r>
      <w:r>
        <w:rPr>
          <w:rFonts w:hint="eastAsia" w:hAnsi="宋体"/>
          <w:b w:val="0"/>
          <w:i w:val="0"/>
          <w:caps w:val="0"/>
          <w:color w:val="000000" w:themeColor="text1"/>
          <w:spacing w:val="0"/>
          <w:w w:val="100"/>
          <w:sz w:val="24"/>
          <w:lang w:val="en-US" w:eastAsia="zh-CN"/>
        </w:rPr>
        <w:t>15</w:t>
      </w:r>
      <w:r>
        <w:rPr>
          <w:rFonts w:hint="eastAsia" w:hAnsi="宋体"/>
          <w:b w:val="0"/>
          <w:i w:val="0"/>
          <w:caps w:val="0"/>
          <w:color w:val="000000" w:themeColor="text1"/>
          <w:spacing w:val="0"/>
          <w:w w:val="100"/>
          <w:sz w:val="24"/>
        </w:rPr>
        <w:t>日内，按照财政性资金支付有关规定，向乙方核拨预付款，合同总金额的</w:t>
      </w:r>
      <w:r>
        <w:rPr>
          <w:rFonts w:hint="eastAsia" w:hAnsi="宋体"/>
          <w:b w:val="0"/>
          <w:i w:val="0"/>
          <w:caps w:val="0"/>
          <w:color w:val="000000" w:themeColor="text1"/>
          <w:spacing w:val="0"/>
          <w:w w:val="100"/>
          <w:sz w:val="24"/>
          <w:lang w:val="en-US" w:eastAsia="zh-CN"/>
        </w:rPr>
        <w:t>50</w:t>
      </w:r>
      <w:r>
        <w:rPr>
          <w:rFonts w:hint="eastAsia" w:hAnsi="宋体"/>
          <w:b w:val="0"/>
          <w:i w:val="0"/>
          <w:caps w:val="0"/>
          <w:color w:val="000000" w:themeColor="text1"/>
          <w:spacing w:val="0"/>
          <w:w w:val="100"/>
          <w:sz w:val="24"/>
        </w:rPr>
        <w:t>%款项；</w:t>
      </w:r>
    </w:p>
    <w:p>
      <w:pPr>
        <w:pStyle w:val="27"/>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240" w:firstLineChars="100"/>
        <w:jc w:val="both"/>
        <w:textAlignment w:val="baseline"/>
        <w:rPr>
          <w:rFonts w:hint="eastAsia" w:hAnsi="宋体"/>
          <w:b w:val="0"/>
          <w:i w:val="0"/>
          <w:caps w:val="0"/>
          <w:color w:val="000000" w:themeColor="text1"/>
          <w:spacing w:val="0"/>
          <w:w w:val="100"/>
          <w:sz w:val="24"/>
        </w:rPr>
      </w:pPr>
      <w:r>
        <w:rPr>
          <w:rFonts w:hint="default" w:ascii="宋体" w:hAnsi="宋体" w:eastAsia="宋体"/>
          <w:b w:val="0"/>
          <w:bCs/>
          <w:i w:val="0"/>
          <w:caps w:val="0"/>
          <w:spacing w:val="0"/>
          <w:w w:val="100"/>
          <w:sz w:val="24"/>
          <w:highlight w:val="none"/>
        </w:rPr>
        <w:t>2</w:t>
      </w:r>
      <w:r>
        <w:rPr>
          <w:rFonts w:hint="default" w:ascii="宋体" w:hAnsi="宋体" w:eastAsia="宋体"/>
          <w:b w:val="0"/>
          <w:bCs/>
          <w:i w:val="0"/>
          <w:caps w:val="0"/>
          <w:spacing w:val="0"/>
          <w:w w:val="100"/>
          <w:sz w:val="24"/>
          <w:highlight w:val="none"/>
          <w:lang w:val="en-US" w:eastAsia="zh-CN"/>
        </w:rPr>
        <w:t>.2</w:t>
      </w:r>
      <w:r>
        <w:rPr>
          <w:rFonts w:hint="eastAsia" w:hAnsi="宋体"/>
          <w:b w:val="0"/>
          <w:i w:val="0"/>
          <w:caps w:val="0"/>
          <w:color w:val="000000" w:themeColor="text1"/>
          <w:spacing w:val="0"/>
          <w:w w:val="100"/>
          <w:sz w:val="24"/>
        </w:rPr>
        <w:t>货物安装调试完毕并</w:t>
      </w:r>
      <w:r>
        <w:rPr>
          <w:rFonts w:hint="eastAsia" w:hAnsi="宋体"/>
          <w:b w:val="0"/>
          <w:i w:val="0"/>
          <w:caps w:val="0"/>
          <w:color w:val="000000" w:themeColor="text1"/>
          <w:spacing w:val="0"/>
          <w:w w:val="100"/>
          <w:sz w:val="24"/>
          <w:lang w:eastAsia="zh-CN"/>
        </w:rPr>
        <w:t>经科室确认后，</w:t>
      </w:r>
      <w:r>
        <w:rPr>
          <w:rFonts w:hint="eastAsia" w:hAnsi="宋体"/>
          <w:b w:val="0"/>
          <w:i w:val="0"/>
          <w:caps w:val="0"/>
          <w:color w:val="000000" w:themeColor="text1"/>
          <w:spacing w:val="0"/>
          <w:w w:val="100"/>
          <w:sz w:val="24"/>
        </w:rPr>
        <w:t>甲方接到乙方通知与票据凭证资料以后的</w:t>
      </w:r>
      <w:r>
        <w:rPr>
          <w:rFonts w:hint="eastAsia" w:hAnsi="宋体"/>
          <w:b w:val="0"/>
          <w:i w:val="0"/>
          <w:caps w:val="0"/>
          <w:color w:val="000000" w:themeColor="text1"/>
          <w:spacing w:val="0"/>
          <w:w w:val="100"/>
          <w:sz w:val="24"/>
          <w:lang w:val="en-US" w:eastAsia="zh-CN"/>
        </w:rPr>
        <w:t>15</w:t>
      </w:r>
      <w:r>
        <w:rPr>
          <w:rFonts w:hint="eastAsia" w:hAnsi="宋体"/>
          <w:b w:val="0"/>
          <w:i w:val="0"/>
          <w:caps w:val="0"/>
          <w:color w:val="000000" w:themeColor="text1"/>
          <w:spacing w:val="0"/>
          <w:w w:val="100"/>
          <w:sz w:val="24"/>
        </w:rPr>
        <w:t>日内，向乙方核拨合同总金额的</w:t>
      </w:r>
      <w:r>
        <w:rPr>
          <w:rFonts w:hint="eastAsia" w:hAnsi="宋体"/>
          <w:b w:val="0"/>
          <w:i w:val="0"/>
          <w:caps w:val="0"/>
          <w:color w:val="000000" w:themeColor="text1"/>
          <w:spacing w:val="0"/>
          <w:w w:val="100"/>
          <w:sz w:val="24"/>
          <w:lang w:val="en-US" w:eastAsia="zh-CN"/>
        </w:rPr>
        <w:t>40</w:t>
      </w:r>
      <w:r>
        <w:rPr>
          <w:rFonts w:hint="eastAsia" w:hAnsi="宋体"/>
          <w:b w:val="0"/>
          <w:i w:val="0"/>
          <w:caps w:val="0"/>
          <w:color w:val="000000" w:themeColor="text1"/>
          <w:spacing w:val="0"/>
          <w:w w:val="100"/>
          <w:sz w:val="24"/>
        </w:rPr>
        <w:t>%款项；</w:t>
      </w:r>
    </w:p>
    <w:p>
      <w:pPr>
        <w:pStyle w:val="27"/>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240" w:firstLineChars="100"/>
        <w:jc w:val="both"/>
        <w:textAlignment w:val="baseline"/>
        <w:rPr>
          <w:rFonts w:hint="eastAsia" w:hAnsi="宋体"/>
          <w:b w:val="0"/>
          <w:i w:val="0"/>
          <w:caps w:val="0"/>
          <w:color w:val="000000" w:themeColor="text1"/>
          <w:spacing w:val="0"/>
          <w:w w:val="100"/>
          <w:sz w:val="24"/>
          <w:lang w:val="en-US" w:eastAsia="zh-CN"/>
        </w:rPr>
      </w:pPr>
      <w:r>
        <w:rPr>
          <w:rFonts w:hint="default" w:ascii="宋体" w:hAnsi="宋体" w:eastAsia="宋体"/>
          <w:b w:val="0"/>
          <w:bCs/>
          <w:i w:val="0"/>
          <w:caps w:val="0"/>
          <w:spacing w:val="0"/>
          <w:w w:val="100"/>
          <w:sz w:val="24"/>
          <w:highlight w:val="none"/>
          <w:lang w:val="en-US" w:eastAsia="zh-CN"/>
        </w:rPr>
        <w:t>2.3</w:t>
      </w:r>
      <w:r>
        <w:rPr>
          <w:rFonts w:hint="eastAsia" w:hAnsi="宋体"/>
          <w:b w:val="0"/>
          <w:i w:val="0"/>
          <w:caps w:val="0"/>
          <w:color w:val="000000" w:themeColor="text1"/>
          <w:spacing w:val="0"/>
          <w:w w:val="100"/>
          <w:sz w:val="24"/>
          <w:lang w:val="en-US" w:eastAsia="zh-CN"/>
        </w:rPr>
        <w:t>货物正常使用六个月后，乙方提交验收报告，</w:t>
      </w:r>
      <w:r>
        <w:rPr>
          <w:rFonts w:hint="eastAsia" w:hAnsi="宋体"/>
          <w:b w:val="0"/>
          <w:i w:val="0"/>
          <w:caps w:val="0"/>
          <w:color w:val="000000" w:themeColor="text1"/>
          <w:spacing w:val="0"/>
          <w:w w:val="100"/>
          <w:sz w:val="24"/>
          <w:lang w:eastAsia="zh-CN"/>
        </w:rPr>
        <w:t>经科室确认后</w:t>
      </w:r>
      <w:r>
        <w:rPr>
          <w:rFonts w:hint="eastAsia" w:hAnsi="宋体"/>
          <w:b w:val="0"/>
          <w:i w:val="0"/>
          <w:caps w:val="0"/>
          <w:color w:val="000000" w:themeColor="text1"/>
          <w:spacing w:val="0"/>
          <w:w w:val="100"/>
          <w:sz w:val="24"/>
          <w:lang w:val="en-US" w:eastAsia="zh-CN"/>
        </w:rPr>
        <w:t>，</w:t>
      </w:r>
      <w:r>
        <w:rPr>
          <w:rFonts w:hint="eastAsia" w:hAnsi="宋体"/>
          <w:b w:val="0"/>
          <w:i w:val="0"/>
          <w:caps w:val="0"/>
          <w:color w:val="000000" w:themeColor="text1"/>
          <w:spacing w:val="0"/>
          <w:w w:val="100"/>
          <w:sz w:val="24"/>
        </w:rPr>
        <w:t>甲方接到乙方通知与票据凭证资料以后的</w:t>
      </w:r>
      <w:r>
        <w:rPr>
          <w:rFonts w:hint="eastAsia" w:hAnsi="宋体"/>
          <w:b w:val="0"/>
          <w:i w:val="0"/>
          <w:caps w:val="0"/>
          <w:color w:val="000000" w:themeColor="text1"/>
          <w:spacing w:val="0"/>
          <w:w w:val="100"/>
          <w:sz w:val="24"/>
          <w:lang w:val="en-US" w:eastAsia="zh-CN"/>
        </w:rPr>
        <w:t>15</w:t>
      </w:r>
      <w:r>
        <w:rPr>
          <w:rFonts w:hint="eastAsia" w:hAnsi="宋体"/>
          <w:b w:val="0"/>
          <w:i w:val="0"/>
          <w:caps w:val="0"/>
          <w:color w:val="000000" w:themeColor="text1"/>
          <w:spacing w:val="0"/>
          <w:w w:val="100"/>
          <w:sz w:val="24"/>
        </w:rPr>
        <w:t>日内，向乙方核拨合同总金额的</w:t>
      </w:r>
      <w:r>
        <w:rPr>
          <w:rFonts w:hint="eastAsia" w:hAnsi="宋体"/>
          <w:b w:val="0"/>
          <w:i w:val="0"/>
          <w:caps w:val="0"/>
          <w:color w:val="000000" w:themeColor="text1"/>
          <w:spacing w:val="0"/>
          <w:w w:val="100"/>
          <w:sz w:val="24"/>
          <w:lang w:val="en-US" w:eastAsia="zh-CN"/>
        </w:rPr>
        <w:t>10</w:t>
      </w:r>
      <w:r>
        <w:rPr>
          <w:rFonts w:hint="eastAsia" w:hAnsi="宋体"/>
          <w:b w:val="0"/>
          <w:i w:val="0"/>
          <w:caps w:val="0"/>
          <w:color w:val="000000" w:themeColor="text1"/>
          <w:spacing w:val="0"/>
          <w:w w:val="100"/>
          <w:sz w:val="24"/>
        </w:rPr>
        <w:t>%款项；</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default" w:ascii="宋体" w:hAnsi="宋体" w:eastAsia="宋体" w:cs="宋体"/>
          <w:bCs/>
          <w:sz w:val="24"/>
          <w:highlight w:val="none"/>
        </w:rPr>
        <w:t>2.</w:t>
      </w:r>
      <w:r>
        <w:rPr>
          <w:rFonts w:hint="eastAsia" w:ascii="宋体" w:hAnsi="宋体" w:eastAsia="宋体" w:cs="宋体"/>
          <w:bCs/>
          <w:sz w:val="24"/>
          <w:highlight w:val="none"/>
          <w:lang w:val="en-US" w:eastAsia="zh-CN"/>
        </w:rPr>
        <w:t xml:space="preserve">4 </w:t>
      </w:r>
      <w:r>
        <w:rPr>
          <w:rFonts w:hint="eastAsia" w:ascii="宋体" w:hAnsi="宋体" w:eastAsia="宋体" w:cs="宋体"/>
          <w:bCs/>
          <w:sz w:val="24"/>
          <w:highlight w:val="none"/>
        </w:rPr>
        <w:t>付款条件：每次款项的支付前提均为采购人在收到中标人出具的正规发票30日内予以办理款项的支付。</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bCs/>
          <w:sz w:val="24"/>
          <w:highlight w:val="none"/>
        </w:rPr>
      </w:pPr>
      <w:r>
        <w:rPr>
          <w:rFonts w:hint="eastAsia" w:ascii="宋体" w:hAnsi="宋体" w:eastAsia="宋体" w:cs="宋体"/>
          <w:bCs/>
          <w:sz w:val="24"/>
          <w:highlight w:val="none"/>
        </w:rPr>
        <w:t>3.质保期：</w:t>
      </w:r>
      <w:r>
        <w:rPr>
          <w:rFonts w:hint="eastAsia" w:ascii="宋体" w:hAnsi="宋体" w:eastAsia="宋体" w:cs="宋体"/>
          <w:bCs/>
          <w:sz w:val="24"/>
          <w:highlight w:val="none"/>
          <w:lang w:val="en-US" w:eastAsia="zh-CN"/>
        </w:rPr>
        <w:t>不低于壹年</w:t>
      </w:r>
      <w:r>
        <w:rPr>
          <w:rFonts w:hint="eastAsia" w:ascii="宋体" w:hAnsi="宋体" w:eastAsia="宋体" w:cs="宋体"/>
          <w:bCs/>
          <w:sz w:val="24"/>
          <w:highlight w:val="none"/>
        </w:rPr>
        <w:t>，质保期从验收合格之日起计算。</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bCs/>
          <w:sz w:val="24"/>
          <w:highlight w:val="none"/>
        </w:rPr>
      </w:pPr>
      <w:r>
        <w:rPr>
          <w:rFonts w:hint="eastAsia" w:ascii="宋体" w:hAnsi="宋体" w:eastAsia="宋体" w:cs="宋体"/>
          <w:bCs/>
          <w:sz w:val="24"/>
          <w:highlight w:val="none"/>
        </w:rPr>
        <w:t>4.安装调试及验收：</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4.</w:t>
      </w:r>
      <w:r>
        <w:rPr>
          <w:rFonts w:hint="eastAsia" w:ascii="宋体" w:hAnsi="宋体" w:eastAsia="宋体" w:cs="宋体"/>
          <w:bCs/>
          <w:sz w:val="24"/>
          <w:highlight w:val="none"/>
          <w:lang w:val="en-US" w:eastAsia="zh-CN"/>
        </w:rPr>
        <w:t xml:space="preserve">1 </w:t>
      </w:r>
      <w:r>
        <w:rPr>
          <w:rFonts w:hint="eastAsia" w:ascii="宋体" w:hAnsi="宋体" w:eastAsia="宋体" w:cs="宋体"/>
          <w:bCs/>
          <w:sz w:val="24"/>
          <w:highlight w:val="none"/>
        </w:rPr>
        <w:t>供应商负责设备安装、调试。</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4.2</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货物到达生产现场后，供应商接到采购人通知后7日内到达现场组织安装、调试，达到正常运行要求，保证采购人正常使用。所需的费用包括在投标总价格中。</w:t>
      </w:r>
    </w:p>
    <w:p>
      <w:pPr>
        <w:keepNext w:val="0"/>
        <w:keepLines w:val="0"/>
        <w:pageBreakBefore w:val="0"/>
        <w:widowControl w:val="0"/>
        <w:kinsoku/>
        <w:wordWrap/>
        <w:overflowPunct/>
        <w:topLinePunct w:val="0"/>
        <w:autoSpaceDE/>
        <w:autoSpaceDN/>
        <w:bidi w:val="0"/>
        <w:adjustRightInd/>
        <w:spacing w:line="400" w:lineRule="exact"/>
        <w:ind w:firstLine="240" w:firstLineChars="100"/>
        <w:jc w:val="left"/>
        <w:rPr>
          <w:rFonts w:hint="eastAsia" w:ascii="宋体" w:hAnsi="宋体" w:eastAsia="宋体" w:cs="宋体"/>
          <w:bCs/>
          <w:sz w:val="24"/>
          <w:highlight w:val="none"/>
        </w:rPr>
      </w:pPr>
      <w:r>
        <w:rPr>
          <w:rFonts w:hint="eastAsia" w:ascii="宋体" w:hAnsi="宋体" w:eastAsia="宋体" w:cs="宋体"/>
          <w:bCs/>
          <w:sz w:val="24"/>
          <w:highlight w:val="none"/>
        </w:rPr>
        <w:t>4.3</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供应商应就设备的安装、调试、操作、维修、保养等对采购人维修技术人员进行培训。设备安装调试完毕后，供应商应对采购人操作人员进行现场培训，直至采购人的技术人员能独立操作，同时能完成一般常见故障的维修工作。</w:t>
      </w:r>
    </w:p>
    <w:p>
      <w:pPr>
        <w:keepNext w:val="0"/>
        <w:keepLines w:val="0"/>
        <w:pageBreakBefore w:val="0"/>
        <w:widowControl w:val="0"/>
        <w:kinsoku/>
        <w:wordWrap/>
        <w:overflowPunct/>
        <w:topLinePunct w:val="0"/>
        <w:autoSpaceDE/>
        <w:autoSpaceDN/>
        <w:bidi w:val="0"/>
        <w:adjustRightInd/>
        <w:spacing w:line="400" w:lineRule="exact"/>
        <w:rPr>
          <w:rFonts w:hint="eastAsia" w:ascii="宋体" w:hAnsi="宋体" w:eastAsia="宋体" w:cs="宋体"/>
          <w:bCs/>
          <w:sz w:val="24"/>
          <w:highlight w:val="none"/>
        </w:rPr>
      </w:pPr>
      <w:r>
        <w:rPr>
          <w:rFonts w:hint="eastAsia" w:ascii="宋体" w:hAnsi="宋体" w:eastAsia="宋体" w:cs="宋体"/>
          <w:bCs/>
          <w:sz w:val="24"/>
          <w:highlight w:val="none"/>
        </w:rPr>
        <w:t>5.履约验收要求</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5.</w:t>
      </w:r>
      <w:r>
        <w:rPr>
          <w:rFonts w:hint="eastAsia" w:ascii="宋体" w:hAnsi="宋体" w:eastAsia="宋体" w:cs="宋体"/>
          <w:bCs/>
          <w:sz w:val="24"/>
          <w:highlight w:val="none"/>
          <w:lang w:val="en-US" w:eastAsia="zh-CN"/>
        </w:rPr>
        <w:t xml:space="preserve">1 </w:t>
      </w:r>
      <w:r>
        <w:rPr>
          <w:rFonts w:hint="eastAsia" w:ascii="宋体" w:hAnsi="宋体" w:eastAsia="宋体" w:cs="宋体"/>
          <w:bCs/>
          <w:sz w:val="24"/>
          <w:highlight w:val="none"/>
        </w:rPr>
        <w:t>验收方法：验收时双方皆应派员参加，验收合格并安装完毕后需双方签署验收单；</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lang w:eastAsia="zh-CN"/>
        </w:rPr>
      </w:pPr>
      <w:r>
        <w:rPr>
          <w:rFonts w:hint="eastAsia" w:ascii="宋体" w:hAnsi="宋体" w:eastAsia="宋体" w:cs="宋体"/>
          <w:bCs/>
          <w:sz w:val="24"/>
          <w:highlight w:val="none"/>
        </w:rPr>
        <w:t>5.</w:t>
      </w:r>
      <w:r>
        <w:rPr>
          <w:rFonts w:hint="eastAsia" w:ascii="宋体" w:hAnsi="宋体" w:eastAsia="宋体" w:cs="宋体"/>
          <w:bCs/>
          <w:sz w:val="24"/>
          <w:highlight w:val="none"/>
          <w:lang w:val="en-US" w:eastAsia="zh-CN"/>
        </w:rPr>
        <w:t xml:space="preserve">2 </w:t>
      </w:r>
      <w:r>
        <w:rPr>
          <w:rFonts w:hint="eastAsia" w:ascii="宋体" w:hAnsi="宋体" w:eastAsia="宋体" w:cs="宋体"/>
          <w:bCs/>
          <w:sz w:val="24"/>
          <w:highlight w:val="none"/>
        </w:rPr>
        <w:t>验收标准：符合国家相关规定的合格产品；保证所供的货物皆为原厂原装、全新、未使用过，并按照相关技术要求进行安装、调试，并完全满足采购人采购提出的工作需要</w:t>
      </w:r>
      <w:r>
        <w:rPr>
          <w:rFonts w:hint="eastAsia" w:ascii="宋体" w:hAnsi="宋体" w:eastAsia="宋体" w:cs="宋体"/>
          <w:bCs/>
          <w:sz w:val="24"/>
          <w:highlight w:val="none"/>
          <w:lang w:eastAsia="zh-CN"/>
        </w:rPr>
        <w:t>，同时提供所投标产品检测报告原件到采购人处对投标文件技术要求应答表中重点技术参数要求真实性进行核实备查。</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5.</w:t>
      </w:r>
      <w:r>
        <w:rPr>
          <w:rFonts w:hint="eastAsia" w:ascii="宋体" w:hAnsi="宋体" w:eastAsia="宋体" w:cs="宋体"/>
          <w:bCs/>
          <w:sz w:val="24"/>
          <w:highlight w:val="none"/>
          <w:lang w:val="en-US" w:eastAsia="zh-CN"/>
        </w:rPr>
        <w:t xml:space="preserve">3 </w:t>
      </w:r>
      <w:r>
        <w:rPr>
          <w:rFonts w:hint="eastAsia" w:ascii="宋体" w:hAnsi="宋体" w:eastAsia="宋体" w:cs="宋体"/>
          <w:bCs/>
          <w:sz w:val="24"/>
          <w:highlight w:val="none"/>
        </w:rPr>
        <w:t>验收时须提供的产品资料：（1）合同复印件</w:t>
      </w:r>
      <w:r>
        <w:rPr>
          <w:rFonts w:hint="eastAsia" w:ascii="宋体" w:hAnsi="宋体" w:eastAsia="宋体" w:cs="宋体"/>
          <w:bCs/>
          <w:sz w:val="24"/>
          <w:highlight w:val="none"/>
          <w:lang w:val="en-US" w:eastAsia="zh-CN"/>
        </w:rPr>
        <w:t>1</w:t>
      </w:r>
      <w:r>
        <w:rPr>
          <w:rFonts w:hint="eastAsia" w:ascii="宋体" w:hAnsi="宋体" w:eastAsia="宋体" w:cs="宋体"/>
          <w:bCs/>
          <w:sz w:val="24"/>
          <w:highlight w:val="none"/>
        </w:rPr>
        <w:t>份</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（2）中标人资质、产品制造厂家资质及产品资质</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投标产品制造厂家的授权文件纸质电子版各1套；（3）</w:t>
      </w:r>
      <w:r>
        <w:rPr>
          <w:rFonts w:hint="eastAsia" w:ascii="宋体" w:hAnsi="宋体" w:eastAsia="宋体" w:cs="宋体"/>
          <w:bCs/>
          <w:sz w:val="24"/>
          <w:highlight w:val="none"/>
          <w:lang w:val="en-US" w:eastAsia="zh-CN"/>
        </w:rPr>
        <w:t>合格证、保修卡</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使用手册等。</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5.</w:t>
      </w:r>
      <w:r>
        <w:rPr>
          <w:rFonts w:hint="eastAsia" w:ascii="宋体" w:hAnsi="宋体" w:eastAsia="宋体" w:cs="宋体"/>
          <w:bCs/>
          <w:sz w:val="24"/>
          <w:highlight w:val="none"/>
          <w:lang w:val="en-US" w:eastAsia="zh-CN"/>
        </w:rPr>
        <w:t xml:space="preserve">4 </w:t>
      </w:r>
      <w:r>
        <w:rPr>
          <w:rFonts w:hint="eastAsia" w:ascii="宋体" w:hAnsi="宋体" w:eastAsia="宋体" w:cs="宋体"/>
          <w:bCs/>
          <w:sz w:val="24"/>
          <w:highlight w:val="none"/>
        </w:rPr>
        <w:t>验收时间要求：中标人按照合同要求完成全部货物运输、安装、调试等全部工作后，采购人在收到书面的验收申请材料后30日内组织履约验收工作。</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5.</w:t>
      </w:r>
      <w:r>
        <w:rPr>
          <w:rFonts w:hint="eastAsia" w:ascii="宋体" w:hAnsi="宋体" w:eastAsia="宋体" w:cs="宋体"/>
          <w:bCs/>
          <w:sz w:val="24"/>
          <w:highlight w:val="none"/>
          <w:lang w:val="en-US" w:eastAsia="zh-CN"/>
        </w:rPr>
        <w:t xml:space="preserve">5 </w:t>
      </w:r>
      <w:r>
        <w:rPr>
          <w:rFonts w:hint="eastAsia" w:ascii="宋体" w:hAnsi="宋体" w:eastAsia="宋体" w:cs="宋体"/>
          <w:bCs/>
          <w:sz w:val="24"/>
          <w:highlight w:val="none"/>
        </w:rPr>
        <w:t>其他要求：验收不合格时，采购人和中标人应协商一致，中标人应根据相关验收证明材料及时补足或更换设备，费用由中标人自行承担。</w:t>
      </w:r>
    </w:p>
    <w:p>
      <w:pPr>
        <w:keepNext w:val="0"/>
        <w:keepLines w:val="0"/>
        <w:pageBreakBefore w:val="0"/>
        <w:widowControl w:val="0"/>
        <w:numPr>
          <w:ilvl w:val="-1"/>
          <w:numId w:val="0"/>
        </w:numPr>
        <w:kinsoku/>
        <w:wordWrap/>
        <w:overflowPunct/>
        <w:topLinePunct w:val="0"/>
        <w:autoSpaceDE/>
        <w:autoSpaceDN/>
        <w:bidi w:val="0"/>
        <w:adjustRightInd/>
        <w:spacing w:line="400" w:lineRule="exact"/>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6.</w:t>
      </w:r>
      <w:r>
        <w:rPr>
          <w:rFonts w:hint="eastAsia" w:ascii="宋体" w:hAnsi="宋体" w:eastAsia="宋体" w:cs="宋体"/>
          <w:bCs/>
          <w:sz w:val="24"/>
          <w:highlight w:val="none"/>
        </w:rPr>
        <w:t>售后服务及培训要求</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6.1</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设备发生故障时，中标人接到通知后30分钟内提供电话等服务响应，48小时内到达现场维修。</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6.2</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设备保修期内开机率不低于95%。</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6.3</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零配件供应：中标人应保证设备安装验收后备件供应不少于</w:t>
      </w:r>
      <w:r>
        <w:rPr>
          <w:rFonts w:hint="eastAsia" w:ascii="宋体" w:hAnsi="宋体" w:eastAsia="宋体" w:cs="宋体"/>
          <w:bCs/>
          <w:sz w:val="24"/>
          <w:highlight w:val="none"/>
          <w:lang w:val="en-US" w:eastAsia="zh-CN"/>
        </w:rPr>
        <w:t>6</w:t>
      </w:r>
      <w:r>
        <w:rPr>
          <w:rFonts w:hint="eastAsia" w:ascii="宋体" w:hAnsi="宋体" w:eastAsia="宋体" w:cs="宋体"/>
          <w:bCs/>
          <w:sz w:val="24"/>
          <w:highlight w:val="none"/>
        </w:rPr>
        <w:t>年，备有所有必需的备件，保证需要时48小时内将配件送达采购人。</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6.4</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投标产品制造厂家在国内应有24小时电话维修系统，在供货时须提供工程师名单、联系电话、通讯地址及备件的目录，保证8小时响应采购人的服务要求。</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rPr>
      </w:pPr>
      <w:r>
        <w:rPr>
          <w:rFonts w:hint="eastAsia" w:ascii="宋体" w:hAnsi="宋体" w:eastAsia="宋体" w:cs="宋体"/>
          <w:bCs/>
          <w:sz w:val="24"/>
          <w:highlight w:val="none"/>
        </w:rPr>
        <w:t>6.5</w:t>
      </w:r>
      <w:r>
        <w:rPr>
          <w:rFonts w:hint="eastAsia" w:ascii="宋体" w:hAnsi="宋体" w:eastAsia="宋体" w:cs="宋体"/>
          <w:bCs/>
          <w:sz w:val="24"/>
          <w:highlight w:val="none"/>
          <w:lang w:val="en-US" w:eastAsia="zh-CN"/>
        </w:rPr>
        <w:t xml:space="preserve"> </w:t>
      </w:r>
      <w:r>
        <w:rPr>
          <w:rFonts w:hint="eastAsia" w:ascii="宋体" w:hAnsi="宋体" w:eastAsia="宋体" w:cs="宋体"/>
          <w:bCs/>
          <w:sz w:val="24"/>
          <w:highlight w:val="none"/>
        </w:rPr>
        <w:t>中标人或投标产品生产厂家的售后服务机构在对设备进行保养、维修后须向采购人管理科室提供经使用人员确认的纸质报告；中标人或投标产品生产厂家需提供每年不少于2次的日常巡查巡检设备，并提供纸质报告。</w:t>
      </w:r>
    </w:p>
    <w:p>
      <w:pPr>
        <w:keepNext w:val="0"/>
        <w:keepLines w:val="0"/>
        <w:pageBreakBefore w:val="0"/>
        <w:widowControl w:val="0"/>
        <w:kinsoku/>
        <w:wordWrap/>
        <w:overflowPunct/>
        <w:topLinePunct w:val="0"/>
        <w:autoSpaceDE/>
        <w:autoSpaceDN/>
        <w:bidi w:val="0"/>
        <w:adjustRightInd/>
        <w:spacing w:line="400" w:lineRule="exact"/>
        <w:ind w:firstLine="240" w:firstLineChars="100"/>
        <w:rPr>
          <w:rFonts w:hint="eastAsia" w:ascii="宋体" w:hAnsi="宋体" w:eastAsia="宋体" w:cs="宋体"/>
          <w:bCs/>
          <w:sz w:val="24"/>
          <w:highlight w:val="none"/>
          <w:lang w:val="en-US" w:eastAsia="zh-CN"/>
        </w:rPr>
      </w:pPr>
      <w:r>
        <w:rPr>
          <w:rFonts w:hint="eastAsia" w:ascii="宋体" w:hAnsi="宋体" w:eastAsia="宋体" w:cs="宋体"/>
          <w:bCs/>
          <w:sz w:val="24"/>
          <w:highlight w:val="none"/>
        </w:rPr>
        <w:t>6.</w:t>
      </w:r>
      <w:r>
        <w:rPr>
          <w:rFonts w:hint="eastAsia" w:ascii="宋体" w:hAnsi="宋体" w:eastAsia="宋体" w:cs="宋体"/>
          <w:bCs/>
          <w:sz w:val="24"/>
          <w:highlight w:val="none"/>
          <w:lang w:val="en-US" w:eastAsia="zh-CN"/>
        </w:rPr>
        <w:t xml:space="preserve">6 </w:t>
      </w:r>
      <w:r>
        <w:rPr>
          <w:rFonts w:hint="eastAsia" w:ascii="宋体" w:hAnsi="宋体" w:eastAsia="宋体" w:cs="宋体"/>
          <w:bCs/>
          <w:sz w:val="24"/>
          <w:highlight w:val="none"/>
        </w:rPr>
        <w:t>中标人应就设备的安装、调试、操作、维修、保养等对采购人技术人员进行培训，培训人员须为设备制造厂家的专业售后人员</w:t>
      </w:r>
      <w:r>
        <w:rPr>
          <w:rFonts w:hint="eastAsia" w:ascii="宋体" w:hAnsi="宋体" w:eastAsia="宋体" w:cs="宋体"/>
          <w:bCs/>
          <w:sz w:val="24"/>
          <w:highlight w:val="none"/>
          <w:lang w:eastAsia="zh-CN"/>
        </w:rPr>
        <w:t>。</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b/>
          <w:bCs w:val="0"/>
          <w:sz w:val="24"/>
          <w:highlight w:val="none"/>
        </w:rPr>
      </w:pPr>
      <w:r>
        <w:rPr>
          <w:rFonts w:hint="eastAsia" w:ascii="宋体" w:hAnsi="宋体" w:eastAsia="宋体" w:cs="宋体"/>
          <w:b/>
          <w:bCs w:val="0"/>
          <w:sz w:val="24"/>
          <w:highlight w:val="none"/>
          <w:lang w:val="en-US" w:eastAsia="zh-CN"/>
        </w:rPr>
        <w:t>三、技术、服务要求</w:t>
      </w:r>
      <w:r>
        <w:rPr>
          <w:rFonts w:hint="eastAsia" w:ascii="宋体" w:hAnsi="宋体" w:eastAsia="宋体" w:cs="宋体"/>
          <w:b/>
          <w:bCs w:val="0"/>
          <w:sz w:val="24"/>
          <w:highlight w:val="none"/>
        </w:rPr>
        <w:t>：</w:t>
      </w:r>
    </w:p>
    <w:p>
      <w:pPr>
        <w:spacing w:line="500" w:lineRule="exact"/>
        <w:rPr>
          <w:rFonts w:hint="eastAsia" w:ascii="宋体" w:hAnsi="宋体" w:eastAsia="宋体" w:cs="宋体"/>
          <w:b/>
          <w:bCs w:val="0"/>
          <w:sz w:val="24"/>
          <w:szCs w:val="22"/>
          <w:highlight w:val="none"/>
          <w:lang w:val="en-US" w:eastAsia="zh-CN"/>
        </w:rPr>
      </w:pPr>
      <w:r>
        <w:rPr>
          <w:rFonts w:hint="eastAsia" w:ascii="宋体" w:hAnsi="宋体" w:eastAsia="宋体" w:cs="宋体"/>
          <w:b/>
          <w:bCs w:val="0"/>
          <w:sz w:val="24"/>
          <w:szCs w:val="22"/>
          <w:highlight w:val="none"/>
          <w:lang w:val="en-US" w:eastAsia="zh-CN"/>
        </w:rPr>
        <w:t>（一）空气消毒机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w:t>
      </w:r>
      <w:r>
        <w:rPr>
          <w:rFonts w:hint="eastAsia" w:ascii="宋体" w:hAnsi="宋体" w:eastAsia="宋体" w:cs="宋体"/>
          <w:bCs/>
          <w:sz w:val="24"/>
          <w:highlight w:val="none"/>
        </w:rPr>
        <w:t>、微电脑程序控制，中文背光液晶显示屏；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2、</w:t>
      </w:r>
      <w:r>
        <w:rPr>
          <w:rFonts w:hint="eastAsia" w:ascii="宋体" w:hAnsi="宋体" w:eastAsia="宋体" w:cs="宋体"/>
          <w:bCs/>
          <w:sz w:val="24"/>
          <w:highlight w:val="none"/>
          <w:lang w:val="en-US" w:eastAsia="zh-CN"/>
        </w:rPr>
        <w:t>紫外线灯</w:t>
      </w:r>
      <w:r>
        <w:rPr>
          <w:rFonts w:hint="eastAsia" w:ascii="宋体" w:hAnsi="宋体" w:eastAsia="宋体" w:cs="宋体"/>
          <w:bCs/>
          <w:sz w:val="24"/>
          <w:highlight w:val="none"/>
        </w:rPr>
        <w:t>管、电机、负离子故障自动检测真人语音故障提示；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3、</w:t>
      </w:r>
      <w:r>
        <w:rPr>
          <w:rFonts w:hint="eastAsia" w:ascii="宋体" w:hAnsi="宋体" w:eastAsia="宋体" w:cs="宋体"/>
          <w:bCs/>
          <w:sz w:val="24"/>
          <w:highlight w:val="none"/>
          <w:lang w:val="en-US" w:eastAsia="zh-CN"/>
        </w:rPr>
        <w:t>紫外线</w:t>
      </w:r>
      <w:r>
        <w:rPr>
          <w:rFonts w:hint="eastAsia" w:ascii="宋体" w:hAnsi="宋体" w:eastAsia="宋体" w:cs="宋体"/>
          <w:bCs/>
          <w:sz w:val="24"/>
          <w:highlight w:val="none"/>
        </w:rPr>
        <w:t>强度自动检测，镜面不锈钢板增加照射强度</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主管失效备管自动支援及加强功能；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4、整机工作寿命计时和清洗保养提醒功能；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5</w:t>
      </w:r>
      <w:r>
        <w:rPr>
          <w:rFonts w:hint="eastAsia" w:ascii="宋体" w:hAnsi="宋体" w:eastAsia="宋体" w:cs="宋体"/>
          <w:bCs/>
          <w:sz w:val="24"/>
          <w:highlight w:val="none"/>
        </w:rPr>
        <w:t>、</w:t>
      </w:r>
      <w:r>
        <w:rPr>
          <w:rFonts w:hint="eastAsia" w:ascii="宋体" w:hAnsi="宋体" w:eastAsia="宋体" w:cs="宋体"/>
          <w:bCs/>
          <w:sz w:val="24"/>
          <w:highlight w:val="none"/>
          <w:lang w:val="en-US" w:eastAsia="zh-CN"/>
        </w:rPr>
        <w:t>自动</w:t>
      </w:r>
      <w:r>
        <w:rPr>
          <w:rFonts w:hint="eastAsia" w:ascii="宋体" w:hAnsi="宋体" w:eastAsia="宋体" w:cs="宋体"/>
          <w:bCs/>
          <w:sz w:val="24"/>
          <w:highlight w:val="none"/>
        </w:rPr>
        <w:t>、遥控、手控多控消毒运行；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6</w:t>
      </w:r>
      <w:r>
        <w:rPr>
          <w:rFonts w:hint="eastAsia" w:ascii="宋体" w:hAnsi="宋体" w:eastAsia="宋体" w:cs="宋体"/>
          <w:bCs/>
          <w:sz w:val="24"/>
          <w:highlight w:val="none"/>
        </w:rPr>
        <w:t>、风速高、中、低可选，双通道立体式出风</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风叶采用金属材质；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7</w:t>
      </w:r>
      <w:r>
        <w:rPr>
          <w:rFonts w:hint="eastAsia" w:ascii="宋体" w:hAnsi="宋体" w:eastAsia="宋体" w:cs="宋体"/>
          <w:bCs/>
          <w:sz w:val="24"/>
          <w:highlight w:val="none"/>
        </w:rPr>
        <w:t>、带多次使用初中效尘埃过滤网、活性炭网除臭及光触媒除菌；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8</w:t>
      </w:r>
      <w:r>
        <w:rPr>
          <w:rFonts w:hint="eastAsia" w:ascii="宋体" w:hAnsi="宋体" w:eastAsia="宋体" w:cs="宋体"/>
          <w:bCs/>
          <w:sz w:val="24"/>
          <w:highlight w:val="none"/>
        </w:rPr>
        <w:t>、外设防滑扶手，推拉移动自如。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9</w:t>
      </w:r>
      <w:r>
        <w:rPr>
          <w:rFonts w:hint="eastAsia" w:ascii="宋体" w:hAnsi="宋体" w:eastAsia="宋体" w:cs="宋体"/>
          <w:bCs/>
          <w:sz w:val="24"/>
          <w:highlight w:val="none"/>
        </w:rPr>
        <w:t>、适用体积：≥1</w:t>
      </w:r>
      <w:r>
        <w:rPr>
          <w:rFonts w:hint="eastAsia" w:ascii="宋体" w:hAnsi="宋体" w:eastAsia="宋体" w:cs="宋体"/>
          <w:bCs/>
          <w:sz w:val="24"/>
          <w:highlight w:val="none"/>
          <w:lang w:val="en-US" w:eastAsia="zh-CN"/>
        </w:rPr>
        <w:t>0</w:t>
      </w:r>
      <w:r>
        <w:rPr>
          <w:rFonts w:hint="eastAsia" w:ascii="宋体" w:hAnsi="宋体" w:eastAsia="宋体" w:cs="宋体"/>
          <w:bCs/>
          <w:sz w:val="24"/>
          <w:highlight w:val="none"/>
        </w:rPr>
        <w:t>0m3；</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10</w:t>
      </w:r>
      <w:r>
        <w:rPr>
          <w:rFonts w:hint="eastAsia" w:ascii="宋体" w:hAnsi="宋体" w:eastAsia="宋体" w:cs="宋体"/>
          <w:bCs/>
          <w:sz w:val="24"/>
          <w:highlight w:val="none"/>
        </w:rPr>
        <w:t>、外形：移动式；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11</w:t>
      </w:r>
      <w:r>
        <w:rPr>
          <w:rFonts w:hint="eastAsia" w:ascii="宋体" w:hAnsi="宋体" w:eastAsia="宋体" w:cs="宋体"/>
          <w:bCs/>
          <w:sz w:val="24"/>
          <w:highlight w:val="none"/>
        </w:rPr>
        <w:t>、外观尺寸</w:t>
      </w:r>
      <w:r>
        <w:rPr>
          <w:rFonts w:hint="eastAsia" w:ascii="宋体" w:hAnsi="宋体" w:eastAsia="宋体" w:cs="宋体"/>
          <w:bCs/>
          <w:sz w:val="24"/>
          <w:highlight w:val="none"/>
          <w:lang w:val="en-US" w:eastAsia="zh-CN"/>
        </w:rPr>
        <w:t>≤60</w:t>
      </w:r>
      <w:r>
        <w:rPr>
          <w:rFonts w:hint="eastAsia" w:ascii="宋体" w:hAnsi="宋体" w:eastAsia="宋体" w:cs="宋体"/>
          <w:bCs/>
          <w:sz w:val="24"/>
          <w:highlight w:val="none"/>
        </w:rPr>
        <w:t>cm×4</w:t>
      </w:r>
      <w:r>
        <w:rPr>
          <w:rFonts w:hint="eastAsia" w:ascii="宋体" w:hAnsi="宋体" w:eastAsia="宋体" w:cs="宋体"/>
          <w:bCs/>
          <w:sz w:val="24"/>
          <w:highlight w:val="none"/>
          <w:lang w:val="en-US" w:eastAsia="zh-CN"/>
        </w:rPr>
        <w:t>5</w:t>
      </w:r>
      <w:r>
        <w:rPr>
          <w:rFonts w:hint="eastAsia" w:ascii="宋体" w:hAnsi="宋体" w:eastAsia="宋体" w:cs="宋体"/>
          <w:bCs/>
          <w:sz w:val="24"/>
          <w:highlight w:val="none"/>
        </w:rPr>
        <w:t>cm×9</w:t>
      </w:r>
      <w:r>
        <w:rPr>
          <w:rFonts w:hint="eastAsia" w:ascii="宋体" w:hAnsi="宋体" w:eastAsia="宋体" w:cs="宋体"/>
          <w:bCs/>
          <w:sz w:val="24"/>
          <w:highlight w:val="none"/>
          <w:lang w:val="en-US" w:eastAsia="zh-CN"/>
        </w:rPr>
        <w:t>5</w:t>
      </w:r>
      <w:r>
        <w:rPr>
          <w:rFonts w:hint="eastAsia" w:ascii="宋体" w:hAnsi="宋体" w:eastAsia="宋体" w:cs="宋体"/>
          <w:bCs/>
          <w:sz w:val="24"/>
          <w:highlight w:val="none"/>
        </w:rPr>
        <w:t>cm；</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12</w:t>
      </w:r>
      <w:r>
        <w:rPr>
          <w:rFonts w:hint="eastAsia" w:ascii="宋体" w:hAnsi="宋体" w:eastAsia="宋体" w:cs="宋体"/>
          <w:bCs/>
          <w:sz w:val="24"/>
          <w:highlight w:val="none"/>
        </w:rPr>
        <w:t>、循环消毒风量：≥1</w:t>
      </w:r>
      <w:r>
        <w:rPr>
          <w:rFonts w:hint="eastAsia" w:ascii="宋体" w:hAnsi="宋体" w:eastAsia="宋体" w:cs="宋体"/>
          <w:bCs/>
          <w:sz w:val="24"/>
          <w:highlight w:val="none"/>
          <w:lang w:val="en-US" w:eastAsia="zh-CN"/>
        </w:rPr>
        <w:t>0</w:t>
      </w:r>
      <w:r>
        <w:rPr>
          <w:rFonts w:hint="eastAsia" w:ascii="宋体" w:hAnsi="宋体" w:eastAsia="宋体" w:cs="宋体"/>
          <w:bCs/>
          <w:sz w:val="24"/>
          <w:highlight w:val="none"/>
        </w:rPr>
        <w:t>00m3/h；</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w:t>
      </w:r>
      <w:r>
        <w:rPr>
          <w:rFonts w:hint="eastAsia" w:ascii="宋体" w:hAnsi="宋体" w:eastAsia="宋体" w:cs="宋体"/>
          <w:bCs/>
          <w:sz w:val="24"/>
          <w:highlight w:val="none"/>
          <w:lang w:val="en-US" w:eastAsia="zh-CN"/>
        </w:rPr>
        <w:t>13</w:t>
      </w:r>
      <w:r>
        <w:rPr>
          <w:rFonts w:hint="eastAsia" w:ascii="宋体" w:hAnsi="宋体" w:eastAsia="宋体" w:cs="宋体"/>
          <w:bCs/>
          <w:sz w:val="24"/>
          <w:highlight w:val="none"/>
        </w:rPr>
        <w:t>、紫外线辐照强度：≥7.</w:t>
      </w:r>
      <w:r>
        <w:rPr>
          <w:rFonts w:hint="eastAsia" w:ascii="宋体" w:hAnsi="宋体" w:eastAsia="宋体" w:cs="宋体"/>
          <w:bCs/>
          <w:sz w:val="24"/>
          <w:highlight w:val="none"/>
          <w:lang w:val="en-US" w:eastAsia="zh-CN"/>
        </w:rPr>
        <w:t>29</w:t>
      </w:r>
      <w:r>
        <w:rPr>
          <w:rFonts w:hint="eastAsia" w:ascii="宋体" w:hAnsi="宋体" w:eastAsia="宋体" w:cs="宋体"/>
          <w:bCs/>
          <w:sz w:val="24"/>
          <w:highlight w:val="none"/>
        </w:rPr>
        <w:t>×103μW/cm2（提供垂直距离灯管15cm处</w:t>
      </w:r>
      <w:r>
        <w:rPr>
          <w:rFonts w:hint="eastAsia" w:ascii="宋体" w:hAnsi="宋体" w:eastAsia="宋体" w:cs="宋体"/>
          <w:bCs/>
          <w:sz w:val="24"/>
          <w:highlight w:val="none"/>
          <w:lang w:val="en-US" w:eastAsia="zh-CN"/>
        </w:rPr>
        <w:t>的</w:t>
      </w:r>
      <w:r>
        <w:rPr>
          <w:rFonts w:hint="eastAsia" w:ascii="宋体" w:hAnsi="宋体" w:eastAsia="宋体" w:cs="宋体"/>
          <w:bCs/>
          <w:sz w:val="24"/>
          <w:highlight w:val="none"/>
        </w:rPr>
        <w:t>第三方检测报告复印件）；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14</w:t>
      </w:r>
      <w:r>
        <w:rPr>
          <w:rFonts w:hint="eastAsia" w:ascii="宋体" w:hAnsi="宋体" w:eastAsia="宋体" w:cs="宋体"/>
          <w:bCs/>
          <w:sz w:val="24"/>
          <w:highlight w:val="none"/>
        </w:rPr>
        <w:t>、紫外线管寿命：≥5000h；</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w:t>
      </w:r>
      <w:r>
        <w:rPr>
          <w:rFonts w:hint="eastAsia" w:ascii="宋体" w:hAnsi="宋体" w:eastAsia="宋体" w:cs="宋体"/>
          <w:bCs/>
          <w:sz w:val="24"/>
          <w:highlight w:val="none"/>
          <w:lang w:val="en-US" w:eastAsia="zh-CN"/>
        </w:rPr>
        <w:t>15</w:t>
      </w:r>
      <w:r>
        <w:rPr>
          <w:rFonts w:hint="eastAsia" w:ascii="宋体" w:hAnsi="宋体" w:eastAsia="宋体" w:cs="宋体"/>
          <w:bCs/>
          <w:sz w:val="24"/>
          <w:highlight w:val="none"/>
        </w:rPr>
        <w:t>、消毒时空气中臭氧量：≤0.0</w:t>
      </w:r>
      <w:r>
        <w:rPr>
          <w:rFonts w:hint="eastAsia" w:ascii="宋体" w:hAnsi="宋体" w:eastAsia="宋体" w:cs="宋体"/>
          <w:bCs/>
          <w:sz w:val="24"/>
          <w:highlight w:val="none"/>
          <w:lang w:val="en-US" w:eastAsia="zh-CN"/>
        </w:rPr>
        <w:t>3</w:t>
      </w:r>
      <w:r>
        <w:rPr>
          <w:rFonts w:hint="eastAsia" w:ascii="宋体" w:hAnsi="宋体" w:eastAsia="宋体" w:cs="宋体"/>
          <w:bCs/>
          <w:sz w:val="24"/>
          <w:highlight w:val="none"/>
        </w:rPr>
        <w:t>mg/m3（提供第三方检测报告复印件）；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lang w:val="en-US" w:eastAsia="zh-CN"/>
        </w:rPr>
        <w:t>16</w:t>
      </w:r>
      <w:r>
        <w:rPr>
          <w:rFonts w:hint="eastAsia" w:ascii="宋体" w:hAnsi="宋体" w:eastAsia="宋体" w:cs="宋体"/>
          <w:bCs/>
          <w:sz w:val="24"/>
          <w:highlight w:val="none"/>
        </w:rPr>
        <w:t>、紫外线灯管数量：≥</w:t>
      </w:r>
      <w:r>
        <w:rPr>
          <w:rFonts w:hint="eastAsia" w:ascii="宋体" w:hAnsi="宋体" w:eastAsia="宋体" w:cs="宋体"/>
          <w:bCs/>
          <w:sz w:val="24"/>
          <w:highlight w:val="none"/>
          <w:lang w:val="en-US" w:eastAsia="zh-CN"/>
        </w:rPr>
        <w:t>7支（交付现场验收）</w:t>
      </w:r>
      <w:r>
        <w:rPr>
          <w:rFonts w:hint="eastAsia" w:ascii="宋体" w:hAnsi="宋体" w:eastAsia="宋体" w:cs="宋体"/>
          <w:bCs/>
          <w:sz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rPr>
      </w:pPr>
      <w:r>
        <w:rPr>
          <w:rFonts w:hint="eastAsia" w:ascii="宋体" w:hAnsi="宋体" w:eastAsia="宋体" w:cs="宋体"/>
          <w:bCs/>
          <w:sz w:val="24"/>
          <w:highlight w:val="none"/>
        </w:rPr>
        <w:t>★</w:t>
      </w:r>
      <w:r>
        <w:rPr>
          <w:rFonts w:hint="eastAsia" w:ascii="宋体" w:hAnsi="宋体" w:eastAsia="宋体" w:cs="宋体"/>
          <w:bCs/>
          <w:sz w:val="24"/>
          <w:highlight w:val="none"/>
          <w:lang w:val="en-US" w:eastAsia="zh-CN"/>
        </w:rPr>
        <w:t>17</w:t>
      </w:r>
      <w:r>
        <w:rPr>
          <w:rFonts w:hint="eastAsia" w:ascii="宋体" w:hAnsi="宋体" w:eastAsia="宋体" w:cs="宋体"/>
          <w:bCs/>
          <w:sz w:val="24"/>
          <w:highlight w:val="none"/>
        </w:rPr>
        <w:t>、自然菌消亡率：≥9</w:t>
      </w:r>
      <w:r>
        <w:rPr>
          <w:rFonts w:hint="eastAsia" w:ascii="宋体" w:hAnsi="宋体" w:eastAsia="宋体" w:cs="宋体"/>
          <w:bCs/>
          <w:sz w:val="24"/>
          <w:highlight w:val="none"/>
          <w:lang w:val="en-US" w:eastAsia="zh-CN"/>
        </w:rPr>
        <w:t>9</w:t>
      </w:r>
      <w:r>
        <w:rPr>
          <w:rFonts w:hint="eastAsia" w:ascii="宋体" w:hAnsi="宋体" w:eastAsia="宋体" w:cs="宋体"/>
          <w:bCs/>
          <w:sz w:val="24"/>
          <w:highlight w:val="none"/>
        </w:rPr>
        <w:t>%（提供第三方检测报告复印件）；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lang w:eastAsia="zh-CN"/>
        </w:rPr>
      </w:pPr>
      <w:r>
        <w:rPr>
          <w:rFonts w:hint="eastAsia" w:ascii="宋体" w:hAnsi="宋体" w:eastAsia="宋体" w:cs="宋体"/>
          <w:bCs/>
          <w:sz w:val="24"/>
          <w:highlight w:val="none"/>
        </w:rPr>
        <w:t>★</w:t>
      </w:r>
      <w:r>
        <w:rPr>
          <w:rFonts w:hint="eastAsia" w:ascii="宋体" w:hAnsi="宋体" w:eastAsia="宋体" w:cs="宋体"/>
          <w:bCs/>
          <w:sz w:val="24"/>
          <w:highlight w:val="none"/>
          <w:lang w:val="en-US" w:eastAsia="zh-CN"/>
        </w:rPr>
        <w:t>18</w:t>
      </w:r>
      <w:r>
        <w:rPr>
          <w:rFonts w:hint="eastAsia" w:ascii="宋体" w:hAnsi="宋体" w:eastAsia="宋体" w:cs="宋体"/>
          <w:bCs/>
          <w:sz w:val="24"/>
          <w:highlight w:val="none"/>
        </w:rPr>
        <w:t>、消毒后空气中细菌总数：≤2</w:t>
      </w:r>
      <w:r>
        <w:rPr>
          <w:rFonts w:hint="eastAsia" w:ascii="宋体" w:hAnsi="宋体" w:eastAsia="宋体" w:cs="宋体"/>
          <w:bCs/>
          <w:sz w:val="24"/>
          <w:highlight w:val="none"/>
          <w:lang w:val="en-US" w:eastAsia="zh-CN"/>
        </w:rPr>
        <w:t>3</w:t>
      </w:r>
      <w:r>
        <w:rPr>
          <w:rFonts w:hint="eastAsia" w:ascii="宋体" w:hAnsi="宋体" w:eastAsia="宋体" w:cs="宋体"/>
          <w:bCs/>
          <w:sz w:val="24"/>
          <w:highlight w:val="none"/>
        </w:rPr>
        <w:t>cfu/m3（提供第三方检测报告复印件）</w:t>
      </w:r>
      <w:r>
        <w:rPr>
          <w:rFonts w:hint="eastAsia" w:ascii="宋体" w:hAnsi="宋体" w:eastAsia="宋体" w:cs="宋体"/>
          <w:bCs/>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val="0"/>
          <w:sz w:val="24"/>
          <w:highlight w:val="none"/>
          <w:lang w:val="en-US" w:eastAsia="zh-CN"/>
        </w:rPr>
      </w:pPr>
      <w:r>
        <w:rPr>
          <w:rFonts w:hint="eastAsia" w:ascii="宋体" w:hAnsi="宋体" w:eastAsia="宋体" w:cs="宋体"/>
          <w:b/>
          <w:bCs w:val="0"/>
          <w:sz w:val="24"/>
          <w:highlight w:val="none"/>
          <w:lang w:val="en-US" w:eastAsia="zh-CN"/>
        </w:rPr>
        <w:t>（二）超低容量消毒机：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★19、</w:t>
      </w:r>
      <w:r>
        <w:rPr>
          <w:rFonts w:hint="default" w:ascii="宋体" w:hAnsi="宋体" w:eastAsia="宋体" w:cs="宋体"/>
          <w:bCs/>
          <w:sz w:val="24"/>
          <w:highlight w:val="none"/>
          <w:lang w:val="en-US" w:eastAsia="zh-CN"/>
        </w:rPr>
        <w:t>最大续航时间</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10小时</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rPr>
        <w:t>锂电池动力电池</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双动力、长续航、带电量显示。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20、</w:t>
      </w:r>
      <w:r>
        <w:rPr>
          <w:rFonts w:hint="default" w:ascii="宋体" w:hAnsi="宋体" w:eastAsia="宋体" w:cs="宋体"/>
          <w:bCs/>
          <w:sz w:val="24"/>
          <w:highlight w:val="none"/>
          <w:lang w:val="en-US" w:eastAsia="zh-CN"/>
        </w:rPr>
        <w:t>充电时间</w:t>
      </w:r>
      <w:r>
        <w:rPr>
          <w:rFonts w:hint="eastAsia" w:ascii="宋体" w:hAnsi="宋体" w:eastAsia="宋体" w:cs="宋体"/>
          <w:bCs/>
          <w:sz w:val="24"/>
          <w:highlight w:val="none"/>
          <w:lang w:val="en-US" w:eastAsia="zh-CN"/>
        </w:rPr>
        <w:t>≤3</w:t>
      </w:r>
      <w:r>
        <w:rPr>
          <w:rFonts w:hint="default" w:ascii="宋体" w:hAnsi="宋体" w:eastAsia="宋体" w:cs="宋体"/>
          <w:bCs/>
          <w:sz w:val="24"/>
          <w:highlight w:val="none"/>
          <w:lang w:val="en-US" w:eastAsia="zh-CN"/>
        </w:rPr>
        <w:t>小时</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21、</w:t>
      </w:r>
      <w:r>
        <w:rPr>
          <w:rFonts w:hint="default" w:ascii="宋体" w:hAnsi="宋体" w:eastAsia="宋体" w:cs="宋体"/>
          <w:bCs/>
          <w:sz w:val="24"/>
          <w:highlight w:val="none"/>
          <w:lang w:val="en-US" w:eastAsia="zh-CN"/>
        </w:rPr>
        <w:t>药箱容积</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8L</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22、</w:t>
      </w:r>
      <w:r>
        <w:rPr>
          <w:rFonts w:hint="default" w:ascii="宋体" w:hAnsi="宋体" w:eastAsia="宋体" w:cs="宋体"/>
          <w:bCs/>
          <w:sz w:val="24"/>
          <w:highlight w:val="none"/>
          <w:lang w:val="en-US" w:eastAsia="zh-CN"/>
        </w:rPr>
        <w:t>最大声压</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80dB</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★23、</w:t>
      </w:r>
      <w:r>
        <w:rPr>
          <w:rFonts w:hint="eastAsia" w:ascii="宋体" w:hAnsi="宋体" w:eastAsia="宋体" w:cs="宋体"/>
          <w:bCs/>
          <w:sz w:val="24"/>
          <w:highlight w:val="none"/>
        </w:rPr>
        <w:t>多喷头、大雾量</w:t>
      </w:r>
      <w:r>
        <w:rPr>
          <w:rFonts w:hint="eastAsia" w:ascii="宋体" w:hAnsi="宋体" w:eastAsia="宋体" w:cs="宋体"/>
          <w:bCs/>
          <w:sz w:val="24"/>
          <w:highlight w:val="none"/>
          <w:lang w:eastAsia="zh-CN"/>
        </w:rPr>
        <w:t>，</w:t>
      </w:r>
      <w:r>
        <w:rPr>
          <w:rFonts w:hint="default" w:ascii="宋体" w:hAnsi="宋体" w:eastAsia="宋体" w:cs="宋体"/>
          <w:bCs/>
          <w:sz w:val="24"/>
          <w:highlight w:val="none"/>
          <w:lang w:val="en-US" w:eastAsia="zh-CN"/>
        </w:rPr>
        <w:t>最大喷雾量</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800mL/min</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rPr>
        <w:t>喷雾距离远、颗粒细致、均匀</w:t>
      </w:r>
      <w:r>
        <w:rPr>
          <w:rFonts w:hint="eastAsia" w:ascii="宋体" w:hAnsi="宋体" w:eastAsia="宋体" w:cs="宋体"/>
          <w:bCs/>
          <w:sz w:val="24"/>
          <w:highlight w:val="none"/>
          <w:lang w:eastAsia="zh-CN"/>
        </w:rPr>
        <w:t>，</w:t>
      </w:r>
      <w:r>
        <w:rPr>
          <w:rFonts w:hint="eastAsia" w:ascii="宋体" w:hAnsi="宋体" w:eastAsia="宋体" w:cs="宋体"/>
          <w:bCs/>
          <w:sz w:val="24"/>
          <w:highlight w:val="none"/>
        </w:rPr>
        <w:t>可更换喷嘴选择不同喷雾粒径。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★24、</w:t>
      </w:r>
      <w:r>
        <w:rPr>
          <w:rFonts w:hint="default" w:ascii="宋体" w:hAnsi="宋体" w:eastAsia="宋体" w:cs="宋体"/>
          <w:bCs/>
          <w:sz w:val="24"/>
          <w:highlight w:val="none"/>
          <w:lang w:val="en-US" w:eastAsia="zh-CN"/>
        </w:rPr>
        <w:t>喷雾粒径：5-300μm</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★25、</w:t>
      </w:r>
      <w:r>
        <w:rPr>
          <w:rFonts w:hint="default" w:ascii="宋体" w:hAnsi="宋体" w:eastAsia="宋体" w:cs="宋体"/>
          <w:bCs/>
          <w:sz w:val="24"/>
          <w:highlight w:val="none"/>
          <w:lang w:val="en-US" w:eastAsia="zh-CN"/>
        </w:rPr>
        <w:t>最大静风射程：6m</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26、</w:t>
      </w:r>
      <w:r>
        <w:rPr>
          <w:rFonts w:hint="default" w:ascii="宋体" w:hAnsi="宋体" w:eastAsia="宋体" w:cs="宋体"/>
          <w:bCs/>
          <w:sz w:val="24"/>
          <w:highlight w:val="none"/>
          <w:lang w:val="en-US" w:eastAsia="zh-CN"/>
        </w:rPr>
        <w:t>外壳材料：PE+增强尼龙工程塑料+冷轧钢板喷塑+阻燃</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27、</w:t>
      </w:r>
      <w:r>
        <w:rPr>
          <w:rFonts w:hint="default" w:ascii="宋体" w:hAnsi="宋体" w:eastAsia="宋体" w:cs="宋体"/>
          <w:bCs/>
          <w:sz w:val="24"/>
          <w:highlight w:val="none"/>
          <w:lang w:val="en-US" w:eastAsia="zh-CN"/>
        </w:rPr>
        <w:t>水箱材质：PE</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水阀材质：316L不锈钢</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水管材质：PP</w:t>
      </w:r>
      <w:r>
        <w:rPr>
          <w:rFonts w:hint="eastAsia" w:ascii="宋体" w:hAnsi="宋体" w:eastAsia="宋体" w:cs="宋体"/>
          <w:bCs/>
          <w:sz w:val="24"/>
          <w:highlight w:val="none"/>
          <w:lang w:val="en-US" w:eastAsia="zh-CN"/>
        </w:rPr>
        <w:t>；</w:t>
      </w:r>
      <w:r>
        <w:rPr>
          <w:rFonts w:hint="default" w:ascii="宋体" w:hAnsi="宋体" w:eastAsia="宋体" w:cs="宋体"/>
          <w:bCs/>
          <w:sz w:val="24"/>
          <w:highlight w:val="none"/>
          <w:lang w:val="en-US" w:eastAsia="zh-CN"/>
        </w:rPr>
        <w:t>喷嘴材质：钛合金</w:t>
      </w:r>
      <w:r>
        <w:rPr>
          <w:rFonts w:hint="eastAsia" w:ascii="宋体" w:hAnsi="宋体" w:eastAsia="宋体" w:cs="宋体"/>
          <w:bCs/>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28、</w:t>
      </w:r>
      <w:r>
        <w:rPr>
          <w:rFonts w:hint="eastAsia" w:ascii="宋体" w:hAnsi="宋体" w:eastAsia="宋体" w:cs="宋体"/>
          <w:bCs/>
          <w:sz w:val="24"/>
          <w:highlight w:val="none"/>
        </w:rPr>
        <w:t>水箱二级风机增压。</w:t>
      </w:r>
    </w:p>
    <w:p>
      <w:pPr>
        <w:pStyle w:val="6"/>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9"/>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A8767C9"/>
    <w:rsid w:val="0DC61272"/>
    <w:rsid w:val="0ED51777"/>
    <w:rsid w:val="17BD29FB"/>
    <w:rsid w:val="19540A52"/>
    <w:rsid w:val="1BCA6133"/>
    <w:rsid w:val="1C985A0D"/>
    <w:rsid w:val="22A8474E"/>
    <w:rsid w:val="27C84B6D"/>
    <w:rsid w:val="2A0047E7"/>
    <w:rsid w:val="2B796EBE"/>
    <w:rsid w:val="300817D1"/>
    <w:rsid w:val="332B5D3D"/>
    <w:rsid w:val="38520016"/>
    <w:rsid w:val="3D5529A7"/>
    <w:rsid w:val="3DBC3894"/>
    <w:rsid w:val="3EF03BAC"/>
    <w:rsid w:val="48111C2D"/>
    <w:rsid w:val="4962387D"/>
    <w:rsid w:val="4BBE6CC9"/>
    <w:rsid w:val="4E0B092A"/>
    <w:rsid w:val="5074152A"/>
    <w:rsid w:val="57CC719B"/>
    <w:rsid w:val="580C5456"/>
    <w:rsid w:val="591169FC"/>
    <w:rsid w:val="5A00477A"/>
    <w:rsid w:val="5FA81F61"/>
    <w:rsid w:val="627D77E8"/>
    <w:rsid w:val="6A7A7481"/>
    <w:rsid w:val="6BA508B9"/>
    <w:rsid w:val="734A267A"/>
    <w:rsid w:val="74324BCE"/>
    <w:rsid w:val="76A0109A"/>
    <w:rsid w:val="7B243E13"/>
    <w:rsid w:val="7C101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20"/>
    <w:qFormat/>
    <w:uiPriority w:val="9"/>
    <w:pPr>
      <w:keepNext/>
      <w:keepLines/>
      <w:spacing w:before="260" w:after="260" w:line="415" w:lineRule="auto"/>
      <w:outlineLvl w:val="1"/>
    </w:pPr>
    <w:rPr>
      <w:rFonts w:ascii="Arial" w:hAnsi="Arial" w:eastAsia="黑体" w:cs="Times New Roman"/>
      <w:b/>
      <w:bCs/>
      <w:sz w:val="32"/>
      <w:szCs w:val="32"/>
    </w:rPr>
  </w:style>
  <w:style w:type="paragraph" w:styleId="2">
    <w:name w:val="heading 4"/>
    <w:basedOn w:val="1"/>
    <w:next w:val="1"/>
    <w:qFormat/>
    <w:uiPriority w:val="0"/>
    <w:pPr>
      <w:keepNext/>
      <w:spacing w:before="240" w:after="60"/>
      <w:outlineLvl w:val="3"/>
    </w:pPr>
    <w:rPr>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Body Text"/>
    <w:basedOn w:val="1"/>
    <w:next w:val="7"/>
    <w:semiHidden/>
    <w:unhideWhenUsed/>
    <w:qFormat/>
    <w:uiPriority w:val="0"/>
    <w:pPr>
      <w:spacing w:after="120"/>
    </w:pPr>
  </w:style>
  <w:style w:type="paragraph" w:styleId="7">
    <w:name w:val="Date"/>
    <w:basedOn w:val="1"/>
    <w:next w:val="1"/>
    <w:link w:val="23"/>
    <w:semiHidden/>
    <w:unhideWhenUsed/>
    <w:qFormat/>
    <w:uiPriority w:val="99"/>
    <w:pPr>
      <w:ind w:left="100" w:leftChars="2500"/>
    </w:pPr>
  </w:style>
  <w:style w:type="paragraph" w:styleId="8">
    <w:name w:val="Balloon Text"/>
    <w:basedOn w:val="1"/>
    <w:link w:val="24"/>
    <w:semiHidden/>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next w:val="6"/>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page number"/>
    <w:qFormat/>
    <w:uiPriority w:val="0"/>
  </w:style>
  <w:style w:type="character" w:styleId="16">
    <w:name w:val="Hyperlink"/>
    <w:basedOn w:val="14"/>
    <w:unhideWhenUsed/>
    <w:qFormat/>
    <w:uiPriority w:val="99"/>
    <w:rPr>
      <w:color w:val="0000FF" w:themeColor="hyperlink"/>
      <w:u w:val="single"/>
    </w:rPr>
  </w:style>
  <w:style w:type="character" w:customStyle="1" w:styleId="17">
    <w:name w:val="页眉 Char"/>
    <w:basedOn w:val="14"/>
    <w:link w:val="10"/>
    <w:qFormat/>
    <w:uiPriority w:val="99"/>
    <w:rPr>
      <w:sz w:val="18"/>
      <w:szCs w:val="18"/>
    </w:rPr>
  </w:style>
  <w:style w:type="character" w:customStyle="1" w:styleId="18">
    <w:name w:val="页脚 Char"/>
    <w:basedOn w:val="14"/>
    <w:link w:val="9"/>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标题 2 Char"/>
    <w:basedOn w:val="14"/>
    <w:link w:val="3"/>
    <w:qFormat/>
    <w:uiPriority w:val="9"/>
    <w:rPr>
      <w:rFonts w:ascii="Arial" w:hAnsi="Arial" w:eastAsia="黑体" w:cs="Times New Roman"/>
      <w:b/>
      <w:bCs/>
      <w:sz w:val="32"/>
      <w:szCs w:val="32"/>
    </w:rPr>
  </w:style>
  <w:style w:type="character" w:customStyle="1" w:styleId="21">
    <w:name w:val="列出段落 Char"/>
    <w:link w:val="22"/>
    <w:qFormat/>
    <w:uiPriority w:val="34"/>
    <w:rPr>
      <w:rFonts w:ascii="宋体" w:hAnsi="宋体" w:cs="宋体"/>
      <w:sz w:val="24"/>
      <w:szCs w:val="24"/>
    </w:rPr>
  </w:style>
  <w:style w:type="paragraph" w:customStyle="1" w:styleId="22">
    <w:name w:val="列出段落1"/>
    <w:basedOn w:val="1"/>
    <w:link w:val="21"/>
    <w:qFormat/>
    <w:uiPriority w:val="34"/>
    <w:pPr>
      <w:widowControl/>
      <w:ind w:firstLine="420" w:firstLineChars="200"/>
      <w:jc w:val="left"/>
    </w:pPr>
    <w:rPr>
      <w:rFonts w:ascii="宋体" w:hAnsi="宋体" w:cs="宋体"/>
      <w:sz w:val="24"/>
      <w:szCs w:val="24"/>
    </w:rPr>
  </w:style>
  <w:style w:type="character" w:customStyle="1" w:styleId="23">
    <w:name w:val="日期 Char"/>
    <w:basedOn w:val="14"/>
    <w:link w:val="7"/>
    <w:semiHidden/>
    <w:qFormat/>
    <w:uiPriority w:val="99"/>
  </w:style>
  <w:style w:type="character" w:customStyle="1" w:styleId="24">
    <w:name w:val="批注框文本 Char"/>
    <w:basedOn w:val="14"/>
    <w:link w:val="8"/>
    <w:semiHidden/>
    <w:qFormat/>
    <w:uiPriority w:val="99"/>
    <w:rPr>
      <w:sz w:val="18"/>
      <w:szCs w:val="18"/>
    </w:rPr>
  </w:style>
  <w:style w:type="character" w:customStyle="1" w:styleId="25">
    <w:name w:val="font01"/>
    <w:basedOn w:val="14"/>
    <w:qFormat/>
    <w:uiPriority w:val="0"/>
    <w:rPr>
      <w:rFonts w:hint="eastAsia" w:ascii="宋体" w:hAnsi="宋体" w:eastAsia="宋体" w:cs="宋体"/>
      <w:color w:val="000000"/>
      <w:sz w:val="22"/>
      <w:szCs w:val="22"/>
      <w:u w:val="none"/>
    </w:rPr>
  </w:style>
  <w:style w:type="paragraph" w:customStyle="1" w:styleId="26">
    <w:name w:val="正文首行缩进两字符"/>
    <w:basedOn w:val="1"/>
    <w:qFormat/>
    <w:uiPriority w:val="0"/>
    <w:pPr>
      <w:spacing w:line="360" w:lineRule="auto"/>
      <w:ind w:firstLine="200" w:firstLineChars="200"/>
    </w:pPr>
  </w:style>
  <w:style w:type="paragraph" w:customStyle="1" w:styleId="27">
    <w:name w:val="样式 首行缩进:  2 字符"/>
    <w:basedOn w:val="1"/>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4102</Words>
  <Characters>4412</Characters>
  <Lines>14</Lines>
  <Paragraphs>4</Paragraphs>
  <TotalTime>17</TotalTime>
  <ScaleCrop>false</ScaleCrop>
  <LinksUpToDate>false</LinksUpToDate>
  <CharactersWithSpaces>4515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2022-12-13T06:27:00Z</cp:lastPrinted>
  <dcterms:modified xsi:type="dcterms:W3CDTF">2022-12-13T08:40:10Z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EC3FD689C5D342D799BD160DC760BFDB</vt:lpwstr>
  </property>
</Properties>
</file>