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华文中宋" w:hAnsi="华文中宋" w:eastAsia="华文中宋"/>
          <w:b/>
          <w:sz w:val="32"/>
          <w:szCs w:val="22"/>
        </w:rPr>
      </w:pPr>
      <w:bookmarkStart w:id="0" w:name="_Hlt101233737"/>
      <w:bookmarkEnd w:id="0"/>
      <w:bookmarkStart w:id="1" w:name="_Hlt101843627"/>
      <w:bookmarkEnd w:id="1"/>
      <w:r>
        <w:rPr>
          <w:rFonts w:hint="eastAsia" w:ascii="华文中宋" w:hAnsi="华文中宋" w:eastAsia="华文中宋"/>
          <w:b/>
          <w:sz w:val="32"/>
          <w:lang w:val="en-US" w:eastAsia="zh-CN"/>
        </w:rPr>
        <w:t>附件三：</w:t>
      </w:r>
      <w:bookmarkStart w:id="2" w:name="_GoBack"/>
      <w:r>
        <w:rPr>
          <w:rFonts w:hint="eastAsia" w:ascii="华文中宋" w:hAnsi="华文中宋" w:eastAsia="华文中宋"/>
          <w:b/>
          <w:sz w:val="32"/>
          <w:szCs w:val="22"/>
        </w:rPr>
        <w:t>综合评分明细表</w:t>
      </w:r>
    </w:p>
    <w:bookmarkEnd w:id="2"/>
    <w:tbl>
      <w:tblPr>
        <w:tblStyle w:val="12"/>
        <w:tblpPr w:leftFromText="180" w:rightFromText="180" w:vertAnchor="text" w:tblpX="-321" w:tblpY="1"/>
        <w:tblOverlap w:val="never"/>
        <w:tblW w:w="90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"/>
        <w:gridCol w:w="1118"/>
        <w:gridCol w:w="696"/>
        <w:gridCol w:w="5059"/>
        <w:gridCol w:w="772"/>
        <w:gridCol w:w="9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532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序号</w:t>
            </w:r>
          </w:p>
        </w:tc>
        <w:tc>
          <w:tcPr>
            <w:tcW w:w="1118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评分因素</w:t>
            </w:r>
          </w:p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及权重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ind w:firstLine="28"/>
              <w:jc w:val="both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分值</w:t>
            </w:r>
          </w:p>
        </w:tc>
        <w:tc>
          <w:tcPr>
            <w:tcW w:w="5059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评分标准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备注</w:t>
            </w:r>
          </w:p>
        </w:tc>
        <w:tc>
          <w:tcPr>
            <w:tcW w:w="91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2" w:hRule="atLeast"/>
        </w:trPr>
        <w:tc>
          <w:tcPr>
            <w:tcW w:w="532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1</w:t>
            </w:r>
          </w:p>
        </w:tc>
        <w:tc>
          <w:tcPr>
            <w:tcW w:w="1118" w:type="dxa"/>
            <w:vAlign w:val="center"/>
          </w:tcPr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报价</w:t>
            </w:r>
            <w:r>
              <w:rPr>
                <w:rFonts w:ascii="仿宋" w:hAnsi="仿宋" w:eastAsia="仿宋"/>
                <w:szCs w:val="21"/>
                <w:highlight w:val="none"/>
              </w:rPr>
              <w:t>30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%</w:t>
            </w:r>
          </w:p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（主要评分因素）</w:t>
            </w:r>
          </w:p>
        </w:tc>
        <w:tc>
          <w:tcPr>
            <w:tcW w:w="696" w:type="dxa"/>
            <w:vAlign w:val="center"/>
          </w:tcPr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ascii="仿宋" w:hAnsi="仿宋" w:eastAsia="仿宋"/>
                <w:szCs w:val="21"/>
                <w:highlight w:val="none"/>
              </w:rPr>
              <w:t>30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分</w:t>
            </w:r>
          </w:p>
        </w:tc>
        <w:tc>
          <w:tcPr>
            <w:tcW w:w="5059" w:type="dxa"/>
            <w:vAlign w:val="center"/>
          </w:tcPr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 xml:space="preserve">满足招标文件要求且投标价格最低的报价为基准价，其价格分为满分。其他供应商的价格分统一按照下列公式计算：报价得分=(基准价／报价)* </w:t>
            </w:r>
            <w:r>
              <w:rPr>
                <w:rFonts w:ascii="仿宋" w:hAnsi="仿宋" w:eastAsia="仿宋"/>
                <w:szCs w:val="21"/>
                <w:highlight w:val="none"/>
              </w:rPr>
              <w:t>30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%*100</w:t>
            </w: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/</w:t>
            </w:r>
          </w:p>
        </w:tc>
        <w:tc>
          <w:tcPr>
            <w:tcW w:w="919" w:type="dxa"/>
            <w:vAlign w:val="center"/>
          </w:tcPr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共同评分因素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999" w:hRule="atLeast"/>
        </w:trPr>
        <w:tc>
          <w:tcPr>
            <w:tcW w:w="532" w:type="dxa"/>
            <w:vAlign w:val="center"/>
          </w:tcPr>
          <w:p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2</w:t>
            </w:r>
          </w:p>
        </w:tc>
        <w:tc>
          <w:tcPr>
            <w:tcW w:w="1118" w:type="dxa"/>
            <w:vAlign w:val="center"/>
          </w:tcPr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技术、服务要求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60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%（主要评分因素）</w:t>
            </w:r>
          </w:p>
        </w:tc>
        <w:tc>
          <w:tcPr>
            <w:tcW w:w="696" w:type="dxa"/>
            <w:vAlign w:val="center"/>
          </w:tcPr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60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分</w:t>
            </w:r>
          </w:p>
        </w:tc>
        <w:tc>
          <w:tcPr>
            <w:tcW w:w="5059" w:type="dxa"/>
            <w:vAlign w:val="center"/>
          </w:tcPr>
          <w:p>
            <w:pPr>
              <w:numPr>
                <w:ilvl w:val="-1"/>
                <w:numId w:val="0"/>
              </w:numPr>
              <w:rPr>
                <w:rFonts w:hint="eastAsia"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投标人针对技术参数条款的响应得分规则如下：</w:t>
            </w:r>
          </w:p>
          <w:p>
            <w:pPr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1.</w:t>
            </w:r>
            <w:r>
              <w:rPr>
                <w:rFonts w:hint="eastAsia" w:ascii="仿宋" w:hAnsi="仿宋" w:eastAsia="仿宋"/>
                <w:szCs w:val="21"/>
              </w:rPr>
              <w:t>一般技术参数条款响应得分=（投标人满足一般技术参数条款的数量÷对应包件中一般技术参数条款的总数量）×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分。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一般技术参数条款</w:t>
            </w:r>
            <w:r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20条。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2.</w:t>
            </w:r>
            <w:r>
              <w:rPr>
                <w:rFonts w:hint="eastAsia" w:ascii="仿宋" w:hAnsi="仿宋" w:eastAsia="仿宋"/>
                <w:szCs w:val="21"/>
              </w:rPr>
              <w:t>投标人针对“★”技术参数条款的响应得分规则如下：</w:t>
            </w:r>
          </w:p>
          <w:p>
            <w:pP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“★”技术参数条款响应得分=（投标人满足“★”技术参数条款的数量÷对应包件中“★”技术参数条款的总数量）×</w:t>
            </w:r>
            <w:r>
              <w:rPr>
                <w:rFonts w:ascii="仿宋" w:hAnsi="仿宋" w:eastAsia="仿宋"/>
                <w:szCs w:val="21"/>
              </w:rPr>
              <w:t>40</w:t>
            </w:r>
            <w:r>
              <w:rPr>
                <w:rFonts w:hint="eastAsia" w:ascii="仿宋" w:hAnsi="仿宋" w:eastAsia="仿宋"/>
                <w:szCs w:val="21"/>
              </w:rPr>
              <w:t>分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。</w:t>
            </w:r>
            <w:r>
              <w:rPr>
                <w:rFonts w:hint="eastAsia" w:ascii="仿宋" w:hAnsi="仿宋" w:eastAsia="仿宋"/>
                <w:szCs w:val="21"/>
              </w:rPr>
              <w:t>“★”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技术参数条款</w:t>
            </w:r>
            <w:r>
              <w:rPr>
                <w:rFonts w:hint="eastAsia" w:ascii="仿宋" w:hAnsi="仿宋" w:eastAsia="仿宋"/>
                <w:szCs w:val="21"/>
                <w:highlight w:val="none"/>
                <w:lang w:eastAsia="zh-CN"/>
              </w:rPr>
              <w:t>：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8条。</w:t>
            </w: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/</w:t>
            </w:r>
          </w:p>
        </w:tc>
        <w:tc>
          <w:tcPr>
            <w:tcW w:w="919" w:type="dxa"/>
            <w:vAlign w:val="center"/>
          </w:tcPr>
          <w:p>
            <w:pPr>
              <w:rPr>
                <w:rFonts w:ascii="仿宋" w:hAnsi="仿宋" w:eastAsia="仿宋"/>
                <w:szCs w:val="21"/>
                <w:highlight w:val="none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技术类评分因素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02" w:hRule="atLeast"/>
        </w:trPr>
        <w:tc>
          <w:tcPr>
            <w:tcW w:w="532" w:type="dxa"/>
            <w:vAlign w:val="center"/>
          </w:tcPr>
          <w:p>
            <w:pPr>
              <w:spacing w:line="400" w:lineRule="exact"/>
              <w:ind w:firstLine="28" w:firstLineChars="0"/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118" w:type="dxa"/>
            <w:vAlign w:val="center"/>
          </w:tcPr>
          <w:p>
            <w:pPr>
              <w:rPr>
                <w:rFonts w:hint="eastAsia" w:ascii="仿宋" w:hAnsi="仿宋" w:eastAsia="仿宋" w:cstheme="minorBid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售后服务</w:t>
            </w: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ascii="仿宋" w:hAnsi="仿宋" w:eastAsia="仿宋"/>
                <w:szCs w:val="21"/>
                <w:highlight w:val="none"/>
              </w:rPr>
              <w:t>%</w:t>
            </w:r>
          </w:p>
        </w:tc>
        <w:tc>
          <w:tcPr>
            <w:tcW w:w="696" w:type="dxa"/>
            <w:vAlign w:val="center"/>
          </w:tcPr>
          <w:p>
            <w:pPr>
              <w:rPr>
                <w:rFonts w:hint="eastAsia" w:ascii="仿宋" w:hAnsi="仿宋" w:eastAsia="仿宋" w:cstheme="minorBid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Cs w:val="21"/>
                <w:highlight w:val="none"/>
              </w:rPr>
              <w:t>分</w:t>
            </w:r>
          </w:p>
        </w:tc>
        <w:tc>
          <w:tcPr>
            <w:tcW w:w="5059" w:type="dxa"/>
            <w:vAlign w:val="center"/>
          </w:tcPr>
          <w:p>
            <w:pPr>
              <w:rPr>
                <w:rFonts w:hint="eastAsia" w:ascii="仿宋" w:hAnsi="仿宋" w:eastAsia="仿宋" w:cstheme="minorBid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FF0000"/>
                <w:szCs w:val="21"/>
                <w:highlight w:val="none"/>
              </w:rPr>
              <w:t>投标人</w:t>
            </w:r>
            <w:r>
              <w:rPr>
                <w:rFonts w:hint="eastAsia" w:ascii="仿宋" w:hAnsi="仿宋" w:eastAsia="仿宋"/>
                <w:szCs w:val="21"/>
              </w:rPr>
              <w:t>针对本项目提供的售后服务方案，包括但不限于①售后服务流程、②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售后</w:t>
            </w:r>
            <w:r>
              <w:rPr>
                <w:rFonts w:hint="eastAsia" w:ascii="仿宋" w:hAnsi="仿宋" w:eastAsia="仿宋"/>
                <w:szCs w:val="21"/>
              </w:rPr>
              <w:t>应急预案、③质量保障方案、④培训方案，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⑤维修保养计划，</w:t>
            </w:r>
            <w:r>
              <w:rPr>
                <w:rFonts w:hint="eastAsia" w:ascii="仿宋" w:hAnsi="仿宋" w:eastAsia="仿宋"/>
                <w:szCs w:val="21"/>
              </w:rPr>
              <w:t>每有一处漏项等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个方面，以上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个方面提供完整且每个方面均描述详细，符合本项目实际情况、有利于项目实施的得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/>
                <w:szCs w:val="21"/>
              </w:rPr>
              <w:t>分，每缺少一个方案或提供的方案与本项目无关的扣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分；每有一个方案存在缺陷或不合理（缺陷和不合理是指存在不适用项目实际情况的情形、凭空编造、逻辑漏洞、前后不一致及不可能实现的夸大情形等)的扣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分，扣完为止。</w:t>
            </w:r>
          </w:p>
        </w:tc>
        <w:tc>
          <w:tcPr>
            <w:tcW w:w="772" w:type="dxa"/>
            <w:vAlign w:val="center"/>
          </w:tcPr>
          <w:p>
            <w:pPr>
              <w:ind w:firstLine="0" w:firstLineChars="0"/>
              <w:jc w:val="center"/>
              <w:rPr>
                <w:rFonts w:hint="eastAsia" w:ascii="仿宋" w:hAnsi="仿宋" w:eastAsia="仿宋" w:cstheme="minorBid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  <w:highlight w:val="none"/>
              </w:rPr>
              <w:t>/</w:t>
            </w:r>
          </w:p>
        </w:tc>
        <w:tc>
          <w:tcPr>
            <w:tcW w:w="919" w:type="dxa"/>
            <w:vAlign w:val="center"/>
          </w:tcPr>
          <w:p>
            <w:pPr>
              <w:rPr>
                <w:rFonts w:hint="eastAsia" w:ascii="仿宋" w:hAnsi="仿宋" w:eastAsia="仿宋" w:cstheme="minorBidi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共同评分因素</w:t>
            </w:r>
          </w:p>
        </w:tc>
      </w:tr>
    </w:tbl>
    <w:p>
      <w:pPr>
        <w:pStyle w:val="6"/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  <w:docPartObj>
        <w:docPartGallery w:val="autotext"/>
      </w:docPartObj>
    </w:sdtPr>
    <w:sdtContent>
      <w:p>
        <w:pPr>
          <w:pStyle w:val="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9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2Y2MjE2NWRiNWExODdlZTQ4NmVmMGRlZmE1OTlkMzcifQ=="/>
  </w:docVars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A8767C9"/>
    <w:rsid w:val="0DC61272"/>
    <w:rsid w:val="0ED51777"/>
    <w:rsid w:val="17BD29FB"/>
    <w:rsid w:val="19540A52"/>
    <w:rsid w:val="1BCA6133"/>
    <w:rsid w:val="1C985A0D"/>
    <w:rsid w:val="22A8474E"/>
    <w:rsid w:val="2A0047E7"/>
    <w:rsid w:val="2B796EBE"/>
    <w:rsid w:val="300817D1"/>
    <w:rsid w:val="332B5D3D"/>
    <w:rsid w:val="38520016"/>
    <w:rsid w:val="3D5529A7"/>
    <w:rsid w:val="3DBC3894"/>
    <w:rsid w:val="3EF03BAC"/>
    <w:rsid w:val="48111C2D"/>
    <w:rsid w:val="4962387D"/>
    <w:rsid w:val="4BBE6CC9"/>
    <w:rsid w:val="4E0B092A"/>
    <w:rsid w:val="5074152A"/>
    <w:rsid w:val="57CC719B"/>
    <w:rsid w:val="580C5456"/>
    <w:rsid w:val="591169FC"/>
    <w:rsid w:val="5A00477A"/>
    <w:rsid w:val="5AA26195"/>
    <w:rsid w:val="5FA81F61"/>
    <w:rsid w:val="627D77E8"/>
    <w:rsid w:val="6A7A7481"/>
    <w:rsid w:val="6BA508B9"/>
    <w:rsid w:val="734A267A"/>
    <w:rsid w:val="74324BCE"/>
    <w:rsid w:val="76A0109A"/>
    <w:rsid w:val="7B243E13"/>
    <w:rsid w:val="7C101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link w:val="20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paragraph" w:styleId="2">
    <w:name w:val="heading 4"/>
    <w:basedOn w:val="1"/>
    <w:next w:val="1"/>
    <w:qFormat/>
    <w:uiPriority w:val="0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200" w:firstLineChars="200"/>
    </w:pPr>
  </w:style>
  <w:style w:type="paragraph" w:styleId="5">
    <w:name w:val="annotation text"/>
    <w:basedOn w:val="1"/>
    <w:semiHidden/>
    <w:unhideWhenUsed/>
    <w:qFormat/>
    <w:uiPriority w:val="99"/>
    <w:pPr>
      <w:jc w:val="left"/>
    </w:pPr>
  </w:style>
  <w:style w:type="paragraph" w:styleId="6">
    <w:name w:val="Body Text"/>
    <w:basedOn w:val="1"/>
    <w:next w:val="7"/>
    <w:semiHidden/>
    <w:unhideWhenUsed/>
    <w:qFormat/>
    <w:uiPriority w:val="0"/>
    <w:pPr>
      <w:spacing w:after="120"/>
    </w:pPr>
  </w:style>
  <w:style w:type="paragraph" w:styleId="7">
    <w:name w:val="Date"/>
    <w:basedOn w:val="1"/>
    <w:next w:val="1"/>
    <w:link w:val="23"/>
    <w:semiHidden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24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next w:val="6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table" w:styleId="13">
    <w:name w:val="Table Grid"/>
    <w:basedOn w:val="1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page number"/>
    <w:qFormat/>
    <w:uiPriority w:val="0"/>
  </w:style>
  <w:style w:type="character" w:styleId="16">
    <w:name w:val="Hyperlink"/>
    <w:basedOn w:val="14"/>
    <w:unhideWhenUsed/>
    <w:qFormat/>
    <w:uiPriority w:val="99"/>
    <w:rPr>
      <w:color w:val="0000FF" w:themeColor="hyperlink"/>
      <w:u w:val="single"/>
    </w:rPr>
  </w:style>
  <w:style w:type="character" w:customStyle="1" w:styleId="17">
    <w:name w:val="页眉 Char"/>
    <w:basedOn w:val="14"/>
    <w:link w:val="10"/>
    <w:qFormat/>
    <w:uiPriority w:val="99"/>
    <w:rPr>
      <w:sz w:val="18"/>
      <w:szCs w:val="18"/>
    </w:rPr>
  </w:style>
  <w:style w:type="character" w:customStyle="1" w:styleId="18">
    <w:name w:val="页脚 Char"/>
    <w:basedOn w:val="14"/>
    <w:link w:val="9"/>
    <w:qFormat/>
    <w:uiPriority w:val="99"/>
    <w:rPr>
      <w:sz w:val="18"/>
      <w:szCs w:val="18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标题 2 Char"/>
    <w:basedOn w:val="14"/>
    <w:link w:val="3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1">
    <w:name w:val="列出段落 Char"/>
    <w:link w:val="22"/>
    <w:qFormat/>
    <w:uiPriority w:val="34"/>
    <w:rPr>
      <w:rFonts w:ascii="宋体" w:hAnsi="宋体" w:cs="宋体"/>
      <w:sz w:val="24"/>
      <w:szCs w:val="24"/>
    </w:rPr>
  </w:style>
  <w:style w:type="paragraph" w:customStyle="1" w:styleId="22">
    <w:name w:val="列出段落1"/>
    <w:basedOn w:val="1"/>
    <w:link w:val="21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3">
    <w:name w:val="日期 Char"/>
    <w:basedOn w:val="14"/>
    <w:link w:val="7"/>
    <w:semiHidden/>
    <w:qFormat/>
    <w:uiPriority w:val="99"/>
  </w:style>
  <w:style w:type="character" w:customStyle="1" w:styleId="24">
    <w:name w:val="批注框文本 Char"/>
    <w:basedOn w:val="14"/>
    <w:link w:val="8"/>
    <w:semiHidden/>
    <w:qFormat/>
    <w:uiPriority w:val="99"/>
    <w:rPr>
      <w:sz w:val="18"/>
      <w:szCs w:val="18"/>
    </w:rPr>
  </w:style>
  <w:style w:type="character" w:customStyle="1" w:styleId="25">
    <w:name w:val="font01"/>
    <w:basedOn w:val="1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26">
    <w:name w:val="正文首行缩进两字符"/>
    <w:basedOn w:val="1"/>
    <w:qFormat/>
    <w:uiPriority w:val="0"/>
    <w:pPr>
      <w:spacing w:line="360" w:lineRule="auto"/>
      <w:ind w:firstLine="200" w:firstLineChars="200"/>
    </w:pPr>
  </w:style>
  <w:style w:type="paragraph" w:customStyle="1" w:styleId="27">
    <w:name w:val="样式 首行缩进:  2 字符"/>
    <w:basedOn w:val="1"/>
    <w:qFormat/>
    <w:uiPriority w:val="99"/>
    <w:pPr>
      <w:spacing w:line="400" w:lineRule="exact"/>
      <w:ind w:firstLine="200" w:firstLineChars="200"/>
    </w:pPr>
    <w:rPr>
      <w:rFonts w:cs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12</Pages>
  <Words>4102</Words>
  <Characters>4412</Characters>
  <Lines>14</Lines>
  <Paragraphs>4</Paragraphs>
  <TotalTime>17</TotalTime>
  <ScaleCrop>false</ScaleCrop>
  <LinksUpToDate>false</LinksUpToDate>
  <CharactersWithSpaces>4515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cs</cp:lastModifiedBy>
  <cp:lastPrinted>2022-12-13T06:27:00Z</cp:lastPrinted>
  <dcterms:modified xsi:type="dcterms:W3CDTF">2022-12-13T08:41:43Z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EC3FD689C5D342D799BD160DC760BFDB</vt:lpwstr>
  </property>
</Properties>
</file>