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spacing w:line="500" w:lineRule="exact"/>
        <w:ind w:right="15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供应商类似业绩或可证明其综合竞争能力的其它材料</w:t>
      </w:r>
    </w:p>
    <w:p>
      <w:pPr>
        <w:spacing w:line="500" w:lineRule="exact"/>
        <w:ind w:right="150"/>
        <w:jc w:val="both"/>
        <w:rPr>
          <w:rFonts w:hint="eastAsia"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实施及售后方案</w:t>
      </w:r>
    </w:p>
    <w:p>
      <w:pPr>
        <w:pStyle w:val="2"/>
        <w:spacing w:line="5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本地化服务资料</w:t>
      </w:r>
    </w:p>
    <w:p>
      <w:pPr>
        <w:pStyle w:val="25"/>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8"/>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 xml:space="preserve"> 继续医学教育</w:t>
      </w:r>
      <w:r>
        <w:rPr>
          <w:rFonts w:hint="eastAsia" w:ascii="华文中宋" w:hAnsi="华文中宋" w:eastAsia="华文中宋" w:cs="宋体"/>
          <w:b/>
          <w:sz w:val="44"/>
          <w:szCs w:val="44"/>
          <w:lang w:eastAsia="zh-CN"/>
        </w:rPr>
        <w:t>及培训</w:t>
      </w:r>
      <w:r>
        <w:rPr>
          <w:rFonts w:hint="eastAsia" w:ascii="华文中宋" w:hAnsi="华文中宋" w:eastAsia="华文中宋" w:cs="宋体"/>
          <w:b/>
          <w:sz w:val="44"/>
          <w:szCs w:val="44"/>
        </w:rPr>
        <w:t>会议</w:t>
      </w:r>
      <w:r>
        <w:rPr>
          <w:rFonts w:hint="eastAsia" w:ascii="华文中宋" w:hAnsi="华文中宋" w:eastAsia="华文中宋" w:cs="宋体"/>
          <w:b/>
          <w:sz w:val="44"/>
          <w:szCs w:val="44"/>
          <w:lang w:eastAsia="zh-CN"/>
        </w:rPr>
        <w:t>直播</w:t>
      </w:r>
      <w:r>
        <w:rPr>
          <w:rFonts w:hint="eastAsia" w:ascii="华文中宋" w:hAnsi="华文中宋" w:eastAsia="华文中宋" w:cs="宋体"/>
          <w:b/>
          <w:sz w:val="44"/>
          <w:szCs w:val="44"/>
          <w:lang w:val="en-US" w:eastAsia="zh-CN"/>
        </w:rPr>
        <w:t>/录播</w:t>
      </w:r>
      <w:r>
        <w:rPr>
          <w:rFonts w:hint="eastAsia" w:ascii="华文中宋" w:hAnsi="华文中宋" w:eastAsia="华文中宋" w:cs="宋体"/>
          <w:b/>
          <w:sz w:val="44"/>
          <w:szCs w:val="44"/>
        </w:rPr>
        <w:t>服务采</w:t>
      </w: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rPr>
        <w:t>购</w:t>
      </w: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rPr>
        <w:t>项</w:t>
      </w: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rPr>
        <w:t>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r>
        <w:rPr>
          <w:rFonts w:hint="eastAsia"/>
          <w:b/>
          <w:color w:val="000000" w:themeColor="text1"/>
          <w:sz w:val="30"/>
          <w:szCs w:val="30"/>
          <w14:textFill>
            <w14:solidFill>
              <w14:schemeClr w14:val="tx1"/>
            </w14:solidFill>
          </w14:textFill>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both"/>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spacing w:before="0" w:after="0" w:line="240" w:lineRule="auto"/>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tabs>
                <w:tab w:val="left" w:pos="0"/>
                <w:tab w:val="left" w:pos="540"/>
              </w:tabs>
              <w:spacing w:line="400" w:lineRule="exact"/>
              <w:jc w:val="center"/>
            </w:pPr>
            <w:r>
              <w:rPr>
                <w:rFonts w:hint="eastAsia"/>
              </w:rPr>
              <w:t>第六条“项目要求”请逐条复制</w:t>
            </w:r>
          </w:p>
          <w:p>
            <w:pPr>
              <w:pStyle w:val="8"/>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如与比选文件第六条“项目要求”无偏离，则无须逐条应答，但要在此表中明确其完全响应。如有偏离条款（正偏离），请将正偏离条款逐条应答。未明确应答的条款，视为默认接受及响应比选文件，并对比选申请人的比选申请文件具有约束力。</w:t>
      </w: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pPr>
        <w:rPr>
          <w:b/>
          <w:bCs/>
          <w:color w:val="000000" w:themeColor="text1"/>
          <w:sz w:val="30"/>
          <w:szCs w:val="30"/>
          <w14:textFill>
            <w14:solidFill>
              <w14:schemeClr w14:val="tx1"/>
            </w14:solidFill>
          </w14:textFill>
        </w:rPr>
      </w:pPr>
    </w:p>
    <w:p>
      <w:pPr>
        <w:pStyle w:val="8"/>
      </w:pPr>
    </w:p>
    <w:p>
      <w:pPr>
        <w:keepNext/>
        <w:keepLines/>
        <w:spacing w:line="360" w:lineRule="auto"/>
        <w:rPr>
          <w:rFonts w:ascii="Cambria" w:hAnsi="Cambria" w:eastAsia="Cambria" w:cs="Cambria"/>
          <w:b/>
          <w:sz w:val="32"/>
        </w:rPr>
      </w:pPr>
    </w:p>
    <w:p>
      <w:pPr>
        <w:pStyle w:val="8"/>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rPr>
          <w:rFonts w:asciiTheme="minorEastAsia" w:hAnsiTheme="minorEastAsia"/>
          <w:b/>
          <w:bCs/>
          <w:color w:val="000000" w:themeColor="text1"/>
          <w:sz w:val="24"/>
          <w14:textFill>
            <w14:solidFill>
              <w14:schemeClr w14:val="tx1"/>
            </w14:solidFill>
          </w14:textFill>
        </w:rPr>
      </w:pPr>
    </w:p>
    <w:p>
      <w:pPr>
        <w:rPr>
          <w:rFonts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default" w:asciiTheme="minorEastAsia" w:hAnsiTheme="minorEastAsia"/>
          <w:b/>
          <w:bCs/>
          <w:color w:val="000000" w:themeColor="text1"/>
          <w:sz w:val="24"/>
          <w:szCs w:val="22"/>
          <w14:textFill>
            <w14:solidFill>
              <w14:schemeClr w14:val="tx1"/>
            </w14:solidFill>
          </w14:textFill>
        </w:rPr>
        <w:t>继续医学教育</w:t>
      </w:r>
      <w:r>
        <w:rPr>
          <w:rFonts w:hint="eastAsia" w:asciiTheme="minorEastAsia" w:hAnsiTheme="minorEastAsia"/>
          <w:b/>
          <w:bCs/>
          <w:color w:val="000000" w:themeColor="text1"/>
          <w:sz w:val="24"/>
          <w:szCs w:val="22"/>
          <w:lang w:eastAsia="zh-CN"/>
          <w14:textFill>
            <w14:solidFill>
              <w14:schemeClr w14:val="tx1"/>
            </w14:solidFill>
          </w14:textFill>
        </w:rPr>
        <w:t>及培训</w:t>
      </w:r>
      <w:r>
        <w:rPr>
          <w:rFonts w:hint="default" w:asciiTheme="minorEastAsia" w:hAnsiTheme="minorEastAsia"/>
          <w:b/>
          <w:bCs/>
          <w:color w:val="000000" w:themeColor="text1"/>
          <w:sz w:val="24"/>
          <w:szCs w:val="22"/>
          <w14:textFill>
            <w14:solidFill>
              <w14:schemeClr w14:val="tx1"/>
            </w14:solidFill>
          </w14:textFill>
        </w:rPr>
        <w:t>会议直播</w:t>
      </w:r>
      <w:r>
        <w:rPr>
          <w:rFonts w:hint="eastAsia" w:asciiTheme="minorEastAsia" w:hAnsiTheme="minorEastAsia"/>
          <w:b/>
          <w:bCs/>
          <w:color w:val="000000" w:themeColor="text1"/>
          <w:sz w:val="24"/>
          <w:szCs w:val="22"/>
          <w:lang w:val="en-US" w:eastAsia="zh-CN"/>
          <w14:textFill>
            <w14:solidFill>
              <w14:schemeClr w14:val="tx1"/>
            </w14:solidFill>
          </w14:textFill>
        </w:rPr>
        <w:t>/录播</w:t>
      </w:r>
      <w:r>
        <w:rPr>
          <w:rFonts w:hint="default" w:asciiTheme="minorEastAsia" w:hAnsiTheme="minorEastAsia"/>
          <w:b/>
          <w:bCs/>
          <w:color w:val="000000" w:themeColor="text1"/>
          <w:sz w:val="24"/>
          <w:szCs w:val="22"/>
          <w14:textFill>
            <w14:solidFill>
              <w14:schemeClr w14:val="tx1"/>
            </w14:solidFill>
          </w14:textFill>
        </w:rPr>
        <w:t>服务采购项目</w:t>
      </w:r>
      <w:r>
        <w:rPr>
          <w:rFonts w:hint="default" w:asciiTheme="minorEastAsia" w:hAnsiTheme="minorEastAsia"/>
          <w:b/>
          <w:bCs/>
          <w:color w:val="000000" w:themeColor="text1"/>
          <w:sz w:val="24"/>
          <w:u w:val="none"/>
          <w14:textFill>
            <w14:solidFill>
              <w14:schemeClr w14:val="tx1"/>
            </w14:solidFill>
          </w14:textFill>
        </w:rPr>
        <w:t xml:space="preserve">   </w:t>
      </w:r>
    </w:p>
    <w:tbl>
      <w:tblPr>
        <w:tblStyle w:val="17"/>
        <w:tblpPr w:leftFromText="180" w:rightFromText="180" w:vertAnchor="text" w:horzAnchor="page" w:tblpX="1101" w:tblpY="421"/>
        <w:tblOverlap w:val="never"/>
        <w:tblW w:w="0" w:type="auto"/>
        <w:tblInd w:w="0" w:type="dxa"/>
        <w:tblLayout w:type="fixed"/>
        <w:tblCellMar>
          <w:top w:w="0" w:type="dxa"/>
          <w:left w:w="108" w:type="dxa"/>
          <w:bottom w:w="0" w:type="dxa"/>
          <w:right w:w="108" w:type="dxa"/>
        </w:tblCellMar>
      </w:tblPr>
      <w:tblGrid>
        <w:gridCol w:w="780"/>
        <w:gridCol w:w="1881"/>
        <w:gridCol w:w="1464"/>
        <w:gridCol w:w="1489"/>
        <w:gridCol w:w="1534"/>
        <w:gridCol w:w="1843"/>
      </w:tblGrid>
      <w:tr>
        <w:tblPrEx>
          <w:tblCellMar>
            <w:top w:w="0" w:type="dxa"/>
            <w:left w:w="108" w:type="dxa"/>
            <w:bottom w:w="0" w:type="dxa"/>
            <w:right w:w="108" w:type="dxa"/>
          </w:tblCellMar>
        </w:tblPrEx>
        <w:trPr>
          <w:trHeight w:val="1906"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8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项目内容</w:t>
            </w:r>
          </w:p>
        </w:tc>
        <w:tc>
          <w:tcPr>
            <w:tcW w:w="1464"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预计年度数（天）</w:t>
            </w:r>
          </w:p>
        </w:tc>
        <w:tc>
          <w:tcPr>
            <w:tcW w:w="148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最高单价限价（元/天）</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单价报价（元）</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小</w:t>
            </w:r>
            <w:r>
              <w:rPr>
                <w:rFonts w:hint="eastAsia" w:ascii="宋体" w:hAnsi="宋体" w:cs="宋体"/>
                <w:color w:val="000000"/>
                <w:kern w:val="0"/>
                <w:sz w:val="24"/>
                <w:szCs w:val="24"/>
              </w:rPr>
              <w:t>计（元）</w:t>
            </w:r>
          </w:p>
        </w:tc>
      </w:tr>
      <w:tr>
        <w:tblPrEx>
          <w:tblCellMar>
            <w:top w:w="0" w:type="dxa"/>
            <w:left w:w="108" w:type="dxa"/>
            <w:bottom w:w="0" w:type="dxa"/>
            <w:right w:w="108" w:type="dxa"/>
          </w:tblCellMar>
        </w:tblPrEx>
        <w:trPr>
          <w:trHeight w:val="1483"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56" w:beforeLines="50" w:after="156" w:afterLines="50"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p>
        </w:tc>
        <w:tc>
          <w:tcPr>
            <w:tcW w:w="188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线上直播/录播服务</w:t>
            </w:r>
          </w:p>
        </w:tc>
        <w:tc>
          <w:tcPr>
            <w:tcW w:w="146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rPr>
              <w:t>14</w:t>
            </w:r>
          </w:p>
        </w:tc>
        <w:tc>
          <w:tcPr>
            <w:tcW w:w="1489"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4000</w:t>
            </w:r>
          </w:p>
        </w:tc>
        <w:tc>
          <w:tcPr>
            <w:tcW w:w="1534"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c>
          <w:tcPr>
            <w:tcW w:w="1843"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1539"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56" w:beforeLines="50" w:after="156" w:afterLines="50" w:line="400" w:lineRule="exact"/>
              <w:jc w:val="center"/>
              <w:rPr>
                <w:rFonts w:hint="eastAsia" w:ascii="宋体" w:hAnsi="宋体" w:eastAsiaTheme="minorEastAsia"/>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p>
        </w:tc>
        <w:tc>
          <w:tcPr>
            <w:tcW w:w="188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线下直播服务</w:t>
            </w:r>
          </w:p>
        </w:tc>
        <w:tc>
          <w:tcPr>
            <w:tcW w:w="146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rPr>
              <w:t>6</w:t>
            </w:r>
          </w:p>
        </w:tc>
        <w:tc>
          <w:tcPr>
            <w:tcW w:w="1489"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7000</w:t>
            </w:r>
          </w:p>
        </w:tc>
        <w:tc>
          <w:tcPr>
            <w:tcW w:w="1534"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c>
          <w:tcPr>
            <w:tcW w:w="1843"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1010" w:hRule="atLeast"/>
        </w:trPr>
        <w:tc>
          <w:tcPr>
            <w:tcW w:w="8991"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ind w:firstLine="720" w:firstLineChars="300"/>
              <w:jc w:val="left"/>
              <w:rPr>
                <w:rFonts w:ascii="宋体" w:hAnsi="宋体" w:cs="宋体"/>
                <w:color w:val="000000"/>
                <w:kern w:val="0"/>
                <w:sz w:val="24"/>
                <w:szCs w:val="24"/>
              </w:rPr>
            </w:pPr>
            <w:r>
              <w:rPr>
                <w:rFonts w:hint="eastAsia" w:ascii="宋体" w:hAnsi="宋体" w:cs="宋体"/>
                <w:color w:val="000000"/>
                <w:kern w:val="0"/>
                <w:sz w:val="24"/>
                <w:szCs w:val="24"/>
              </w:rPr>
              <w:t>合     计（大写）：</w:t>
            </w:r>
          </w:p>
        </w:tc>
      </w:tr>
    </w:tbl>
    <w:p>
      <w:pPr>
        <w:pStyle w:val="8"/>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单项报价并进行报价合计，不允许缺项或漏项，否则作无效响应处理，供应商投标报价单价报价超出单价最高限价的报价作为废标处理，供应商投标报价的合计总价，超出总价的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pPr>
    </w:p>
    <w:p>
      <w:pPr>
        <w:jc w:val="center"/>
        <w:rPr>
          <w:rFonts w:hint="eastAsia"/>
          <w:b/>
          <w:color w:val="000000" w:themeColor="text1"/>
          <w:sz w:val="30"/>
          <w:szCs w:val="30"/>
          <w14:textFill>
            <w14:solidFill>
              <w14:schemeClr w14:val="tx1"/>
            </w14:solidFill>
          </w14:textFill>
        </w:rPr>
      </w:pPr>
    </w:p>
    <w:p>
      <w:pPr>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8"/>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25"/>
        <w:spacing w:line="360" w:lineRule="auto"/>
        <w:ind w:firstLine="480"/>
        <w:rPr>
          <w:rFonts w:hint="eastAsia" w:asciiTheme="minorHAnsi" w:hAnsiTheme="minorHAnsi" w:eastAsiaTheme="minorEastAsia" w:cstheme="minorBidi"/>
          <w:b/>
          <w:color w:val="000000" w:themeColor="text1"/>
          <w:sz w:val="30"/>
          <w:szCs w:val="30"/>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6、</w:t>
      </w:r>
      <w:r>
        <w:rPr>
          <w:rFonts w:hint="eastAsia" w:asciiTheme="minorHAnsi" w:hAnsiTheme="minorHAnsi" w:eastAsiaTheme="minorEastAsia" w:cstheme="minorBidi"/>
          <w:b/>
          <w:color w:val="000000" w:themeColor="text1"/>
          <w:sz w:val="30"/>
          <w:szCs w:val="30"/>
          <w14:textFill>
            <w14:solidFill>
              <w14:schemeClr w14:val="tx1"/>
            </w14:solidFill>
          </w14:textFill>
        </w:rPr>
        <w:t>供应商类似业绩或可证明其综合竞争能力的其它材料。</w:t>
      </w:r>
    </w:p>
    <w:p>
      <w:pPr>
        <w:ind w:right="150" w:firstLine="560" w:firstLineChars="200"/>
        <w:jc w:val="both"/>
        <w:rPr>
          <w:rFonts w:hint="eastAsia" w:eastAsiaTheme="minorEastAsia"/>
          <w:b w:val="0"/>
          <w:bCs/>
          <w:color w:val="000000" w:themeColor="text1"/>
          <w:sz w:val="28"/>
          <w:szCs w:val="28"/>
          <w:lang w:val="en-US" w:eastAsia="zh-CN"/>
          <w14:textFill>
            <w14:solidFill>
              <w14:schemeClr w14:val="tx1"/>
            </w14:solidFill>
          </w14:textFill>
        </w:rPr>
      </w:pPr>
      <w:r>
        <w:rPr>
          <w:rFonts w:hint="eastAsia"/>
          <w:b w:val="0"/>
          <w:bCs/>
          <w:color w:val="000000" w:themeColor="text1"/>
          <w:sz w:val="28"/>
          <w:szCs w:val="28"/>
          <w:lang w:val="en-US" w:eastAsia="zh-CN"/>
          <w14:textFill>
            <w14:solidFill>
              <w14:schemeClr w14:val="tx1"/>
            </w14:solidFill>
          </w14:textFill>
        </w:rPr>
        <w:t>（注：提供销售合同或成交通知书复印件）</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w:t>
      </w:r>
      <w:r>
        <w:rPr>
          <w:rFonts w:hint="eastAsia"/>
          <w:b/>
          <w:color w:val="000000" w:themeColor="text1"/>
          <w:sz w:val="30"/>
          <w:szCs w:val="30"/>
          <w14:textFill>
            <w14:solidFill>
              <w14:schemeClr w14:val="tx1"/>
            </w14:solidFill>
          </w14:textFill>
        </w:rPr>
        <w:t>、</w:t>
      </w:r>
      <w:r>
        <w:rPr>
          <w:rFonts w:hint="eastAsia" w:asciiTheme="minorHAnsi" w:hAnsiTheme="minorHAnsi" w:eastAsiaTheme="minorEastAsia" w:cstheme="minorBidi"/>
          <w:b/>
          <w:color w:val="000000" w:themeColor="text1"/>
          <w:sz w:val="30"/>
          <w:szCs w:val="30"/>
          <w14:textFill>
            <w14:solidFill>
              <w14:schemeClr w14:val="tx1"/>
            </w14:solidFill>
          </w14:textFill>
        </w:rPr>
        <w:t>实施及售后方案</w:t>
      </w:r>
    </w:p>
    <w:p>
      <w:pPr>
        <w:pStyle w:val="8"/>
        <w:rPr>
          <w:rFonts w:ascii="宋体" w:hAnsi="宋体" w:eastAsia="宋体" w:cs="宋体"/>
          <w:color w:val="000000" w:themeColor="text1"/>
          <w:sz w:val="24"/>
          <w:szCs w:val="24"/>
          <w14:textFill>
            <w14:solidFill>
              <w14:schemeClr w14:val="tx1"/>
            </w14:solidFill>
          </w14:textFill>
        </w:rPr>
      </w:pPr>
    </w:p>
    <w:p>
      <w:pPr>
        <w:pStyle w:val="8"/>
        <w:rPr>
          <w:rFonts w:hint="eastAsia" w:ascii="Times New Roman" w:hAnsi="Times New Roman" w:eastAsia="仿宋" w:cstheme="minorBidi"/>
          <w:sz w:val="28"/>
          <w:szCs w:val="28"/>
        </w:rPr>
      </w:pPr>
      <w:r>
        <w:rPr>
          <w:rFonts w:hint="eastAsia" w:ascii="Times New Roman" w:hAnsi="Times New Roman" w:eastAsia="仿宋"/>
          <w:sz w:val="28"/>
          <w:szCs w:val="28"/>
          <w:lang w:eastAsia="zh-CN"/>
        </w:rPr>
        <w:t>备注：</w:t>
      </w:r>
      <w:r>
        <w:rPr>
          <w:rFonts w:hint="eastAsia" w:ascii="Times New Roman" w:hAnsi="Times New Roman" w:eastAsia="仿宋" w:cstheme="minorBidi"/>
          <w:sz w:val="28"/>
          <w:szCs w:val="28"/>
        </w:rPr>
        <w:t>包含①项目实施计划及</w:t>
      </w:r>
      <w:r>
        <w:rPr>
          <w:rFonts w:hint="eastAsia" w:ascii="Times New Roman" w:hAnsi="Times New Roman" w:eastAsia="仿宋" w:cstheme="minorBidi"/>
          <w:sz w:val="28"/>
          <w:szCs w:val="28"/>
          <w:lang w:val="en-US" w:eastAsia="zh-CN"/>
        </w:rPr>
        <w:t>实施人员组成</w:t>
      </w:r>
      <w:r>
        <w:rPr>
          <w:rFonts w:hint="eastAsia" w:ascii="Times New Roman" w:hAnsi="Times New Roman" w:eastAsia="仿宋" w:cstheme="minorBidi"/>
          <w:sz w:val="28"/>
          <w:szCs w:val="28"/>
        </w:rPr>
        <w:t>、②售后处理计划及售后人员组成、③</w:t>
      </w:r>
      <w:r>
        <w:rPr>
          <w:rFonts w:hint="eastAsia" w:ascii="Times New Roman" w:hAnsi="Times New Roman" w:eastAsia="仿宋" w:cstheme="minorBidi"/>
          <w:sz w:val="28"/>
          <w:szCs w:val="28"/>
          <w:lang w:val="en-US" w:eastAsia="zh-CN"/>
        </w:rPr>
        <w:t>培训方案</w:t>
      </w:r>
      <w:r>
        <w:rPr>
          <w:rFonts w:hint="eastAsia" w:ascii="Times New Roman" w:hAnsi="Times New Roman" w:eastAsia="仿宋" w:cstheme="minorBidi"/>
          <w:sz w:val="28"/>
          <w:szCs w:val="28"/>
        </w:rPr>
        <w:t>、④系统运行维护、⑤工作时间进度表</w:t>
      </w: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ind w:right="150"/>
        <w:jc w:val="cente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cstheme="minorBidi"/>
          <w:b/>
          <w:color w:val="000000" w:themeColor="text1"/>
          <w:sz w:val="30"/>
          <w:szCs w:val="30"/>
          <w:lang w:val="en-US" w:eastAsia="zh-CN"/>
          <w14:textFill>
            <w14:solidFill>
              <w14:schemeClr w14:val="tx1"/>
            </w14:solidFill>
          </w14:textFill>
        </w:rPr>
        <w:t>8、</w:t>
      </w: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本地化服务</w:t>
      </w:r>
    </w:p>
    <w:p>
      <w:pPr>
        <w:pStyle w:val="9"/>
        <w:numPr>
          <w:ilvl w:val="-1"/>
          <w:numId w:val="0"/>
        </w:numPr>
        <w:ind w:firstLine="560" w:firstLineChars="200"/>
        <w:jc w:val="both"/>
        <w:rPr>
          <w:rFonts w:hint="eastAsia" w:ascii="Times New Roman" w:hAnsi="Times New Roman" w:eastAsia="仿宋" w:cstheme="minorBidi"/>
          <w:sz w:val="28"/>
          <w:szCs w:val="28"/>
          <w:lang w:val="en-US" w:eastAsia="zh-CN"/>
        </w:rPr>
      </w:pPr>
      <w:r>
        <w:rPr>
          <w:rFonts w:hint="eastAsia" w:ascii="Times New Roman" w:hAnsi="Times New Roman" w:eastAsia="仿宋" w:cstheme="minorBidi"/>
          <w:sz w:val="28"/>
          <w:szCs w:val="28"/>
          <w:lang w:val="en-US" w:eastAsia="zh-CN"/>
        </w:rPr>
        <w:t>注：提供公司注册地的证明材料</w:t>
      </w:r>
    </w:p>
    <w:p>
      <w:pPr>
        <w:pStyle w:val="8"/>
        <w:jc w:val="center"/>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9"/>
        <w:ind w:firstLine="240"/>
        <w:rPr>
          <w:rFonts w:ascii="宋体" w:hAnsi="宋体" w:eastAsia="宋体" w:cs="宋体"/>
          <w:color w:val="000000" w:themeColor="text1"/>
          <w:sz w:val="24"/>
          <w:szCs w:val="24"/>
          <w14:textFill>
            <w14:solidFill>
              <w14:schemeClr w14:val="tx1"/>
            </w14:solidFill>
          </w14:textFill>
        </w:rPr>
      </w:pPr>
    </w:p>
    <w:p>
      <w:pPr>
        <w:pStyle w:val="8"/>
        <w:jc w:val="center"/>
        <w:rPr>
          <w:rFonts w:ascii="宋体" w:hAnsi="宋体" w:eastAsia="宋体" w:cs="宋体"/>
          <w:color w:val="000000" w:themeColor="text1"/>
          <w:sz w:val="24"/>
          <w:szCs w:val="24"/>
          <w14:textFill>
            <w14:solidFill>
              <w14:schemeClr w14:val="tx1"/>
            </w14:solidFill>
          </w14:textFill>
        </w:rPr>
      </w:pPr>
    </w:p>
    <w:p>
      <w:pPr>
        <w:ind w:right="150" w:firstLine="0" w:firstLineChars="0"/>
        <w:jc w:val="center"/>
        <w:rPr>
          <w:rFonts w:hint="default"/>
          <w:b/>
          <w:color w:val="000000" w:themeColor="text1"/>
          <w:sz w:val="30"/>
          <w:szCs w:val="30"/>
          <w:lang w:val="en-US" w:eastAsia="zh-CN"/>
          <w14:textFill>
            <w14:solidFill>
              <w14:schemeClr w14:val="tx1"/>
            </w14:solidFill>
          </w14:textFill>
        </w:rPr>
      </w:pPr>
    </w:p>
    <w:p>
      <w:pPr>
        <w:ind w:right="150" w:firstLine="0" w:firstLineChars="0"/>
        <w:jc w:val="center"/>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jc w:val="center"/>
        <w:rPr>
          <w:rFonts w:ascii="宋体" w:hAnsi="宋体" w:eastAsia="宋体" w:cs="宋体"/>
          <w:color w:val="000000" w:themeColor="text1"/>
          <w:sz w:val="24"/>
          <w:szCs w:val="24"/>
          <w14:textFill>
            <w14:solidFill>
              <w14:schemeClr w14:val="tx1"/>
            </w14:solidFill>
          </w14:textFill>
        </w:rPr>
      </w:pPr>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1273"/>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63B53E6"/>
    <w:rsid w:val="07C94BE1"/>
    <w:rsid w:val="07DE6769"/>
    <w:rsid w:val="095A6A56"/>
    <w:rsid w:val="09CA2C87"/>
    <w:rsid w:val="09E54036"/>
    <w:rsid w:val="0A325ADB"/>
    <w:rsid w:val="0B216CF4"/>
    <w:rsid w:val="0B353F6E"/>
    <w:rsid w:val="0E5873B2"/>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5C3707"/>
    <w:rsid w:val="198232D2"/>
    <w:rsid w:val="1B040AF0"/>
    <w:rsid w:val="1B7222D0"/>
    <w:rsid w:val="1B7F6894"/>
    <w:rsid w:val="1B811C08"/>
    <w:rsid w:val="1CAF1766"/>
    <w:rsid w:val="1DA9388C"/>
    <w:rsid w:val="1DD80BF7"/>
    <w:rsid w:val="1E8B6382"/>
    <w:rsid w:val="1E9268BE"/>
    <w:rsid w:val="1FE02D6C"/>
    <w:rsid w:val="209F0FF7"/>
    <w:rsid w:val="20F56432"/>
    <w:rsid w:val="22246CB4"/>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A308A"/>
    <w:rsid w:val="2B4F2CEF"/>
    <w:rsid w:val="2BBC1282"/>
    <w:rsid w:val="2CF35149"/>
    <w:rsid w:val="2E102ABB"/>
    <w:rsid w:val="2F69343B"/>
    <w:rsid w:val="2FCA7EE6"/>
    <w:rsid w:val="303A1F05"/>
    <w:rsid w:val="30FB7E9E"/>
    <w:rsid w:val="323325C4"/>
    <w:rsid w:val="324D2A55"/>
    <w:rsid w:val="3292324B"/>
    <w:rsid w:val="34C82575"/>
    <w:rsid w:val="34D357FA"/>
    <w:rsid w:val="36B064EA"/>
    <w:rsid w:val="3794592A"/>
    <w:rsid w:val="38AA704F"/>
    <w:rsid w:val="38B05953"/>
    <w:rsid w:val="38B745E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EA7853"/>
    <w:rsid w:val="4D6026FD"/>
    <w:rsid w:val="4D7A092A"/>
    <w:rsid w:val="4FA678C6"/>
    <w:rsid w:val="4FD65049"/>
    <w:rsid w:val="50424B39"/>
    <w:rsid w:val="507A2027"/>
    <w:rsid w:val="50C20C69"/>
    <w:rsid w:val="50CB7074"/>
    <w:rsid w:val="50F6774A"/>
    <w:rsid w:val="511A355D"/>
    <w:rsid w:val="513762CB"/>
    <w:rsid w:val="51950AC2"/>
    <w:rsid w:val="52C00CFA"/>
    <w:rsid w:val="53224776"/>
    <w:rsid w:val="53E94A32"/>
    <w:rsid w:val="54A47FA0"/>
    <w:rsid w:val="55B5596C"/>
    <w:rsid w:val="56D145E5"/>
    <w:rsid w:val="59A61C5F"/>
    <w:rsid w:val="5A0D6763"/>
    <w:rsid w:val="5A2D1CC6"/>
    <w:rsid w:val="5AF76ED7"/>
    <w:rsid w:val="5BB61575"/>
    <w:rsid w:val="5DC3307D"/>
    <w:rsid w:val="5EA6596C"/>
    <w:rsid w:val="5ED65EE2"/>
    <w:rsid w:val="60132AC1"/>
    <w:rsid w:val="6066691B"/>
    <w:rsid w:val="60AC159B"/>
    <w:rsid w:val="611F2602"/>
    <w:rsid w:val="61F31C9B"/>
    <w:rsid w:val="62146F60"/>
    <w:rsid w:val="637B3DE7"/>
    <w:rsid w:val="63934138"/>
    <w:rsid w:val="63F62C16"/>
    <w:rsid w:val="64E62082"/>
    <w:rsid w:val="65E158A6"/>
    <w:rsid w:val="66495D4B"/>
    <w:rsid w:val="67077750"/>
    <w:rsid w:val="677D65F0"/>
    <w:rsid w:val="68E06C2C"/>
    <w:rsid w:val="68FD23E4"/>
    <w:rsid w:val="69B42AF7"/>
    <w:rsid w:val="69E41B3B"/>
    <w:rsid w:val="6A1720EA"/>
    <w:rsid w:val="6A9D70E3"/>
    <w:rsid w:val="6AB04A26"/>
    <w:rsid w:val="6B3C3633"/>
    <w:rsid w:val="6B4E5B09"/>
    <w:rsid w:val="6BBB0CC6"/>
    <w:rsid w:val="6C0762BF"/>
    <w:rsid w:val="6C4838F4"/>
    <w:rsid w:val="6D0A0A3D"/>
    <w:rsid w:val="6E582E85"/>
    <w:rsid w:val="6EB1235D"/>
    <w:rsid w:val="6F520277"/>
    <w:rsid w:val="6F9B6713"/>
    <w:rsid w:val="70BF5C7A"/>
    <w:rsid w:val="729A42C4"/>
    <w:rsid w:val="731E7004"/>
    <w:rsid w:val="73535858"/>
    <w:rsid w:val="7379541C"/>
    <w:rsid w:val="73B97203"/>
    <w:rsid w:val="73BD7DF0"/>
    <w:rsid w:val="754E0BFA"/>
    <w:rsid w:val="75CD0D5C"/>
    <w:rsid w:val="764E0276"/>
    <w:rsid w:val="775F21CA"/>
    <w:rsid w:val="7807665E"/>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5536</Words>
  <Characters>5847</Characters>
  <Lines>50</Lines>
  <Paragraphs>14</Paragraphs>
  <TotalTime>14</TotalTime>
  <ScaleCrop>false</ScaleCrop>
  <LinksUpToDate>false</LinksUpToDate>
  <CharactersWithSpaces>6047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2023-03-17T04:35:00Z</cp:lastPrinted>
  <dcterms:modified xsi:type="dcterms:W3CDTF">2023-03-24T01:15:18Z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CB6528EA650649FEB4BE08FED2B5454F</vt:lpwstr>
  </property>
</Properties>
</file>