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Arial" w:hAnsi="Arial" w:eastAsia="黑体" w:cs="Times New Roman"/>
          <w:b/>
          <w:bCs/>
          <w:sz w:val="32"/>
          <w:szCs w:val="32"/>
        </w:rPr>
      </w:pPr>
      <w:bookmarkStart w:id="0" w:name="_Hlt101843627"/>
      <w:bookmarkEnd w:id="0"/>
      <w:bookmarkStart w:id="1" w:name="_Hlt101233737"/>
      <w:bookmarkEnd w:id="1"/>
      <w:r>
        <w:rPr>
          <w:rFonts w:hint="eastAsia" w:ascii="Arial" w:hAnsi="Arial" w:eastAsia="黑体" w:cs="Times New Roman"/>
          <w:b/>
          <w:bCs/>
          <w:sz w:val="32"/>
          <w:szCs w:val="32"/>
        </w:rPr>
        <w:t>附件1：</w:t>
      </w:r>
      <w:r>
        <w:rPr>
          <w:rFonts w:hint="eastAsia" w:ascii="Arial" w:hAnsi="Arial" w:eastAsia="黑体" w:cs="Times New Roman"/>
          <w:b/>
          <w:bCs/>
          <w:sz w:val="32"/>
          <w:szCs w:val="32"/>
          <w:lang w:val="en-US" w:eastAsia="zh-CN"/>
        </w:rPr>
        <w:t>项目</w:t>
      </w:r>
      <w:r>
        <w:rPr>
          <w:rFonts w:hint="eastAsia" w:ascii="Arial" w:hAnsi="Arial" w:eastAsia="黑体" w:cs="Times New Roman"/>
          <w:b/>
          <w:bCs/>
          <w:sz w:val="32"/>
          <w:szCs w:val="32"/>
        </w:rPr>
        <w:t>需求</w:t>
      </w:r>
    </w:p>
    <w:p>
      <w:pPr>
        <w:spacing w:line="500" w:lineRule="exact"/>
        <w:rPr>
          <w:rFonts w:hint="eastAsia" w:ascii="宋体" w:hAnsi="宋体" w:eastAsia="宋体" w:cs="宋体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sz w:val="24"/>
          <w:highlight w:val="none"/>
        </w:rPr>
        <w:t>本章中标注“*”的条款为本项目的实质性条款，投标人不满足的，将按照无效投标处理。</w:t>
      </w:r>
      <w:r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  <w:t>）</w:t>
      </w:r>
    </w:p>
    <w:p>
      <w:pPr>
        <w:spacing w:line="500" w:lineRule="exact"/>
        <w:rPr>
          <w:rFonts w:hint="eastAsia" w:ascii="宋体" w:hAnsi="宋体" w:eastAsia="宋体" w:cs="宋体"/>
          <w:b w:val="0"/>
          <w:bCs w:val="0"/>
          <w:sz w:val="24"/>
          <w:szCs w:val="22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</w:rPr>
        <w:t>项目概述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eastAsia="zh-CN"/>
        </w:rPr>
        <w:t>：</w:t>
      </w:r>
    </w:p>
    <w:tbl>
      <w:tblPr>
        <w:tblStyle w:val="15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4"/>
        <w:gridCol w:w="3764"/>
        <w:gridCol w:w="960"/>
        <w:gridCol w:w="1101"/>
        <w:gridCol w:w="2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</w:trPr>
        <w:tc>
          <w:tcPr>
            <w:tcW w:w="724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包号</w:t>
            </w:r>
          </w:p>
        </w:tc>
        <w:tc>
          <w:tcPr>
            <w:tcW w:w="3764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标的名称</w:t>
            </w:r>
          </w:p>
        </w:tc>
        <w:tc>
          <w:tcPr>
            <w:tcW w:w="960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数量</w:t>
            </w:r>
          </w:p>
        </w:tc>
        <w:tc>
          <w:tcPr>
            <w:tcW w:w="1101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单位</w:t>
            </w:r>
          </w:p>
        </w:tc>
        <w:tc>
          <w:tcPr>
            <w:tcW w:w="2205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最高限价（万元）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6" w:hRule="atLeast"/>
        </w:trPr>
        <w:tc>
          <w:tcPr>
            <w:tcW w:w="724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01</w:t>
            </w:r>
          </w:p>
        </w:tc>
        <w:tc>
          <w:tcPr>
            <w:tcW w:w="3764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sz w:val="24"/>
                <w:szCs w:val="24"/>
                <w:lang w:val="en-US" w:eastAsia="zh-CN"/>
              </w:rPr>
              <w:t>终端安全防护系统授权续费项目</w:t>
            </w:r>
          </w:p>
        </w:tc>
        <w:tc>
          <w:tcPr>
            <w:tcW w:w="960" w:type="dxa"/>
            <w:vAlign w:val="center"/>
          </w:tcPr>
          <w:p>
            <w:pPr>
              <w:pStyle w:val="6"/>
              <w:jc w:val="center"/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101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年</w:t>
            </w:r>
          </w:p>
        </w:tc>
        <w:tc>
          <w:tcPr>
            <w:tcW w:w="2205" w:type="dxa"/>
            <w:vAlign w:val="center"/>
          </w:tcPr>
          <w:p>
            <w:pPr>
              <w:pStyle w:val="6"/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vertAlign w:val="baseline"/>
                <w:lang w:val="en-US" w:eastAsia="zh-CN"/>
              </w:rPr>
              <w:t>15</w:t>
            </w:r>
          </w:p>
        </w:tc>
      </w:tr>
    </w:tbl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firstLine="0" w:firstLineChars="0"/>
        <w:textAlignment w:val="auto"/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二、</w:t>
      </w:r>
      <w:r>
        <w:rPr>
          <w:rFonts w:hint="eastAsia" w:ascii="宋体" w:hAnsi="宋体" w:eastAsia="宋体" w:cs="宋体"/>
          <w:sz w:val="24"/>
          <w:highlight w:val="none"/>
        </w:rPr>
        <w:t>*</w:t>
      </w:r>
      <w:r>
        <w:rPr>
          <w:rFonts w:hint="eastAsia" w:ascii="宋体" w:hAnsi="宋体" w:eastAsia="宋体" w:cs="宋体"/>
          <w:b/>
          <w:bCs/>
          <w:sz w:val="24"/>
          <w:szCs w:val="22"/>
          <w:highlight w:val="none"/>
          <w:lang w:val="en-US" w:eastAsia="zh-CN"/>
        </w:rPr>
        <w:t>商务要求：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1．交货时间及地点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1.1 交货时间：按双方正式合同签署生效后7日内完成授权。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1.2 交货地点: 成都市龙泉驿区妇幼保健院。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2．付款方法：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2.1付款周期及比例：合同签订生效后，成交人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在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val="en-US" w:eastAsia="zh-CN" w:bidi="ar"/>
        </w:rPr>
        <w:t>授权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生效后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val="en-US" w:eastAsia="zh-CN" w:bidi="ar"/>
        </w:rPr>
        <w:t>30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日内开具第一年度发票给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val="en-US" w:eastAsia="zh-CN" w:bidi="ar"/>
        </w:rPr>
        <w:t>采购人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，采购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val="en-US" w:eastAsia="zh-CN" w:bidi="ar"/>
        </w:rPr>
        <w:t>人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支付第一年度的服务费；</w:t>
      </w: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成交人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在以后每年</w:t>
      </w:r>
      <w:r>
        <w:rPr>
          <w:rFonts w:hint="eastAsia" w:ascii="宋体" w:hAnsi="宋体" w:eastAsia="宋体" w:cs="宋体"/>
          <w:bCs/>
          <w:i w:val="0"/>
          <w:iCs w:val="0"/>
          <w:caps w:val="0"/>
          <w:spacing w:val="0"/>
          <w:sz w:val="24"/>
          <w:szCs w:val="24"/>
          <w:shd w:val="clear"/>
          <w:lang w:val="en-US" w:eastAsia="zh-CN" w:bidi="ar"/>
        </w:rPr>
        <w:t>授权续费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开始后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val="en-US" w:eastAsia="zh-CN" w:bidi="ar"/>
        </w:rPr>
        <w:t>30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日内开具当年度发票给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val="en-US" w:eastAsia="zh-CN" w:bidi="ar"/>
        </w:rPr>
        <w:t>采购人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，采购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val="en-US" w:eastAsia="zh-CN" w:bidi="ar"/>
        </w:rPr>
        <w:t>人</w:t>
      </w:r>
      <w:r>
        <w:rPr>
          <w:rFonts w:hint="eastAsia" w:ascii="宋体" w:hAnsi="宋体" w:eastAsia="宋体" w:cs="宋体"/>
          <w:bCs/>
          <w:i w:val="0"/>
          <w:iCs w:val="0"/>
          <w:caps w:val="0"/>
          <w:color w:val="auto"/>
          <w:spacing w:val="0"/>
          <w:sz w:val="24"/>
          <w:szCs w:val="24"/>
          <w:shd w:val="clear" w:fill="auto"/>
          <w:lang w:bidi="ar"/>
        </w:rPr>
        <w:t>支付当年度服务费。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 w:bidi="ar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2.2付款条件：每次款项的支付前提均为采购人收到成交人出具的正规发票后30日内办理款项支付事宜。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0" w:firstLineChars="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验收：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181" w:leftChars="86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成交人与采购人按照财政部关于印发《财政部关于进一步加强政府采购需求和履约验收管理的指导意见》的通知要求进行验收，采购方有权邀请第三方机构或质检部门共同验收。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3.1验收方法：成交人在完成安装并投入正式使用后进行验收，并提供系统授权成功截图文档交付采购单位。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3.2验收标准：符合国家相关规定，并按照相关技术要求进行工作，并完全满足采购人提出的工作需要；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 xml:space="preserve">3.3验收时间要求：成交人必须响应对其所提供的全部系统进行安装、测试和联网调试。经试运行10日内，正常运行双方确认合格行验收。  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leftChars="0" w:right="0" w:firstLine="480" w:firstLineChars="200"/>
        <w:jc w:val="both"/>
        <w:textAlignment w:val="auto"/>
        <w:rPr>
          <w:rFonts w:hint="eastAsia" w:ascii="宋体" w:hAnsi="宋体" w:eastAsia="宋体" w:cs="宋体"/>
          <w:bCs/>
          <w:sz w:val="24"/>
          <w:szCs w:val="24"/>
          <w:lang w:val="en-US"/>
        </w:rPr>
      </w:pPr>
      <w:r>
        <w:rPr>
          <w:rFonts w:hint="eastAsia" w:ascii="宋体" w:hAnsi="宋体" w:eastAsia="宋体" w:cs="宋体"/>
          <w:bCs/>
          <w:kern w:val="2"/>
          <w:sz w:val="24"/>
          <w:szCs w:val="24"/>
          <w:lang w:val="en-US" w:eastAsia="zh-CN" w:bidi="ar"/>
        </w:rPr>
        <w:t>3.4其他要求：验收不合格时，采购人和成交人应协商一致，成交人应根据相关验收要求及时补足或整改，所产生费用用成交人自行承担。</w:t>
      </w: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宋体" w:hAnsi="宋体" w:eastAsia="宋体" w:cs="宋体"/>
          <w:b w:val="0"/>
          <w:bCs/>
          <w:sz w:val="24"/>
          <w:szCs w:val="24"/>
          <w:lang w:bidi="ar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 w:bidi="ar"/>
        </w:rPr>
        <w:t>特殊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bidi="ar"/>
        </w:rPr>
        <w:t>资质要求</w:t>
      </w:r>
    </w:p>
    <w:p>
      <w:pPr>
        <w:spacing w:line="360" w:lineRule="auto"/>
        <w:ind w:left="0" w:leftChars="0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4.1原厂授权：成交人在合同签订后，授权续费前须提供原厂商(制造厂商)针对本项目的授权书（鲜章）。</w:t>
      </w:r>
    </w:p>
    <w:p>
      <w:pPr>
        <w:spacing w:line="360" w:lineRule="auto"/>
        <w:ind w:left="0" w:leftChars="0" w:firstLine="480" w:firstLineChars="200"/>
        <w:rPr>
          <w:rFonts w:hint="eastAsia" w:ascii="宋体" w:hAnsi="宋体" w:eastAsia="宋体" w:cs="宋体"/>
          <w:bCs/>
          <w:sz w:val="24"/>
          <w:szCs w:val="24"/>
          <w:lang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4.2售后服务：原厂商提供服务承诺函，格式自拟（鲜章）。</w:t>
      </w:r>
    </w:p>
    <w:p>
      <w:pPr>
        <w:keepNext w:val="0"/>
        <w:keepLines w:val="0"/>
        <w:pageBreakBefore w:val="0"/>
        <w:widowControl/>
        <w:numPr>
          <w:ilvl w:val="-1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0" w:firstLineChars="0"/>
        <w:textAlignment w:val="auto"/>
        <w:rPr>
          <w:rFonts w:hint="eastAsia" w:ascii="宋体" w:hAnsi="宋体" w:eastAsia="宋体" w:cs="宋体"/>
          <w:b/>
          <w:bCs w:val="0"/>
          <w:sz w:val="24"/>
          <w:highlight w:val="none"/>
          <w:lang w:eastAsia="zh-CN"/>
        </w:rPr>
      </w:pPr>
      <w:r>
        <w:rPr>
          <w:rFonts w:hint="eastAsia" w:ascii="宋体" w:hAnsi="宋体" w:eastAsia="宋体" w:cs="宋体"/>
          <w:b/>
          <w:bCs w:val="0"/>
          <w:sz w:val="24"/>
          <w:highlight w:val="none"/>
          <w:lang w:val="en-US" w:eastAsia="zh-CN"/>
        </w:rPr>
        <w:t>三、技术、服务要求</w:t>
      </w:r>
      <w:r>
        <w:rPr>
          <w:rFonts w:hint="eastAsia" w:ascii="宋体" w:hAnsi="宋体" w:eastAsia="宋体" w:cs="宋体"/>
          <w:b/>
          <w:bCs w:val="0"/>
          <w:sz w:val="24"/>
          <w:highlight w:val="none"/>
        </w:rPr>
        <w:t>：</w:t>
      </w:r>
    </w:p>
    <w:p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 w:bidi="ar"/>
        </w:rPr>
        <w:t>（一）原厂授权年限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提供360天擎终端安全管理系统原厂授权服务三年。</w:t>
      </w:r>
    </w:p>
    <w:p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 w:bidi="ar"/>
        </w:rPr>
        <w:t>（二）原厂授权服务需求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1、针对Windows终端300个、windows服务器22个、linux服务器5个进行如下功能模块授权：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1.1.安全防护更新服务模块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1.2.补丁管理更新服务模块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1.3.运维管控模块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1.4.移动存储管理模块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1.5.终端审计模块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2、针对Windows终端300个进行准入合规功能模块授权。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3、授权期间系统可以免费进行软件版本升级，并提供原厂工程师现场升级支撑服务。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4、提供原厂提供每年两次巡检，原厂工程师上门做现场巡检；</w:t>
      </w:r>
    </w:p>
    <w:p>
      <w:pPr>
        <w:spacing w:line="360" w:lineRule="auto"/>
        <w:ind w:left="181" w:leftChars="86" w:firstLine="480" w:firstLineChars="200"/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bCs/>
          <w:sz w:val="24"/>
          <w:szCs w:val="24"/>
          <w:lang w:val="en-US" w:eastAsia="zh-CN" w:bidi="ar"/>
        </w:rPr>
        <w:t>5、提供原厂7*24小时400售后支持，原厂工程师5*8小时远程技术支持，原厂服务响应时间表：</w:t>
      </w:r>
    </w:p>
    <w:tbl>
      <w:tblPr>
        <w:tblStyle w:val="15"/>
        <w:tblW w:w="935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8"/>
        <w:gridCol w:w="910"/>
        <w:gridCol w:w="2685"/>
        <w:gridCol w:w="1380"/>
        <w:gridCol w:w="1776"/>
        <w:gridCol w:w="16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服务响应要求</w:t>
            </w:r>
          </w:p>
        </w:tc>
        <w:tc>
          <w:tcPr>
            <w:tcW w:w="910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级别</w:t>
            </w:r>
          </w:p>
        </w:tc>
        <w:tc>
          <w:tcPr>
            <w:tcW w:w="2685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描述</w:t>
            </w:r>
          </w:p>
        </w:tc>
        <w:tc>
          <w:tcPr>
            <w:tcW w:w="1380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电话响应</w:t>
            </w:r>
          </w:p>
        </w:tc>
        <w:tc>
          <w:tcPr>
            <w:tcW w:w="1776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远程响应时间</w:t>
            </w:r>
          </w:p>
        </w:tc>
        <w:tc>
          <w:tcPr>
            <w:tcW w:w="1683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解决时间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vAlign w:val="center"/>
          </w:tcPr>
          <w:p>
            <w:pPr>
              <w:pStyle w:val="6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1</w:t>
            </w:r>
          </w:p>
        </w:tc>
        <w:tc>
          <w:tcPr>
            <w:tcW w:w="910" w:type="dxa"/>
            <w:vAlign w:val="center"/>
          </w:tcPr>
          <w:p>
            <w:pPr>
              <w:pStyle w:val="6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最高级</w:t>
            </w:r>
          </w:p>
        </w:tc>
        <w:tc>
          <w:tcPr>
            <w:tcW w:w="2685" w:type="dxa"/>
            <w:vAlign w:val="center"/>
          </w:tcPr>
          <w:p>
            <w:pPr>
              <w:pStyle w:val="6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软件死锁、病毒爆发、大量扩散、系统瘫痪。</w:t>
            </w:r>
          </w:p>
        </w:tc>
        <w:tc>
          <w:tcPr>
            <w:tcW w:w="1380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15分钟以内</w:t>
            </w:r>
          </w:p>
        </w:tc>
        <w:tc>
          <w:tcPr>
            <w:tcW w:w="1776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0.5-1小时以内</w:t>
            </w:r>
          </w:p>
        </w:tc>
        <w:tc>
          <w:tcPr>
            <w:tcW w:w="1683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1个工作日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vAlign w:val="center"/>
          </w:tcPr>
          <w:p>
            <w:pPr>
              <w:pStyle w:val="6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</w:t>
            </w:r>
          </w:p>
        </w:tc>
        <w:tc>
          <w:tcPr>
            <w:tcW w:w="910" w:type="dxa"/>
            <w:vAlign w:val="center"/>
          </w:tcPr>
          <w:p>
            <w:pPr>
              <w:pStyle w:val="6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紧急</w:t>
            </w:r>
          </w:p>
        </w:tc>
        <w:tc>
          <w:tcPr>
            <w:tcW w:w="2685" w:type="dxa"/>
            <w:vAlign w:val="center"/>
          </w:tcPr>
          <w:p>
            <w:pPr>
              <w:jc w:val="both"/>
              <w:rPr>
                <w:rFonts w:cs="Arial" w:asciiTheme="minorEastAsia" w:hAnsiTheme="minorEastAsia"/>
                <w:color w:val="000000" w:themeColor="text1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系统主要功能无法执行。</w:t>
            </w:r>
          </w:p>
          <w:p>
            <w:pPr>
              <w:pStyle w:val="6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系统性能突然严重降低。</w:t>
            </w:r>
          </w:p>
        </w:tc>
        <w:tc>
          <w:tcPr>
            <w:tcW w:w="1380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15分钟以内</w:t>
            </w:r>
          </w:p>
        </w:tc>
        <w:tc>
          <w:tcPr>
            <w:tcW w:w="1776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1-2小时以内</w:t>
            </w:r>
          </w:p>
        </w:tc>
        <w:tc>
          <w:tcPr>
            <w:tcW w:w="1683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1--2个工作日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vAlign w:val="center"/>
          </w:tcPr>
          <w:p>
            <w:pPr>
              <w:pStyle w:val="6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</w:t>
            </w:r>
          </w:p>
        </w:tc>
        <w:tc>
          <w:tcPr>
            <w:tcW w:w="910" w:type="dxa"/>
            <w:vAlign w:val="center"/>
          </w:tcPr>
          <w:p>
            <w:pPr>
              <w:pStyle w:val="6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重要</w:t>
            </w:r>
          </w:p>
        </w:tc>
        <w:tc>
          <w:tcPr>
            <w:tcW w:w="2685" w:type="dxa"/>
            <w:vAlign w:val="center"/>
          </w:tcPr>
          <w:p>
            <w:pPr>
              <w:pStyle w:val="6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系统出现错误，不过有变通方法可以暂时运作。系统出现细微错误，不影响日常正常作业。一般性的产品使用问题。</w:t>
            </w:r>
          </w:p>
        </w:tc>
        <w:tc>
          <w:tcPr>
            <w:tcW w:w="1380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30分钟以内</w:t>
            </w:r>
          </w:p>
        </w:tc>
        <w:tc>
          <w:tcPr>
            <w:tcW w:w="1776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1个工作日以内</w:t>
            </w:r>
          </w:p>
        </w:tc>
        <w:tc>
          <w:tcPr>
            <w:tcW w:w="1683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3个工作日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18" w:type="dxa"/>
            <w:vAlign w:val="center"/>
          </w:tcPr>
          <w:p>
            <w:pPr>
              <w:pStyle w:val="6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4</w:t>
            </w:r>
          </w:p>
        </w:tc>
        <w:tc>
          <w:tcPr>
            <w:tcW w:w="910" w:type="dxa"/>
            <w:vAlign w:val="center"/>
          </w:tcPr>
          <w:p>
            <w:pPr>
              <w:pStyle w:val="6"/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普通</w:t>
            </w:r>
          </w:p>
        </w:tc>
        <w:tc>
          <w:tcPr>
            <w:tcW w:w="2685" w:type="dxa"/>
            <w:vAlign w:val="center"/>
          </w:tcPr>
          <w:p>
            <w:pPr>
              <w:pStyle w:val="6"/>
              <w:jc w:val="both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索取产品更新（非电子数据方式）。索取一般信息。</w:t>
            </w:r>
          </w:p>
        </w:tc>
        <w:tc>
          <w:tcPr>
            <w:tcW w:w="1380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1小时以内</w:t>
            </w:r>
          </w:p>
        </w:tc>
        <w:tc>
          <w:tcPr>
            <w:tcW w:w="1776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1-2个工作日以内</w:t>
            </w:r>
          </w:p>
        </w:tc>
        <w:tc>
          <w:tcPr>
            <w:tcW w:w="1683" w:type="dxa"/>
            <w:vAlign w:val="center"/>
          </w:tcPr>
          <w:p>
            <w:pPr>
              <w:pStyle w:val="6"/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cs="Arial" w:asciiTheme="minorEastAsia" w:hAnsiTheme="minorEastAsia"/>
                <w:color w:val="000000" w:themeColor="text1"/>
              </w:rPr>
              <w:t>3～5个工作日</w:t>
            </w:r>
          </w:p>
        </w:tc>
      </w:tr>
    </w:tbl>
    <w:p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  <w:bCs/>
          <w:sz w:val="24"/>
          <w:szCs w:val="24"/>
          <w:lang w:bidi="ar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spacing w:line="360" w:lineRule="auto"/>
        <w:jc w:val="left"/>
        <w:rPr>
          <w:rFonts w:hint="eastAsia" w:ascii="华文中宋" w:hAnsi="华文中宋" w:eastAsia="华文中宋"/>
          <w:b/>
          <w:sz w:val="32"/>
        </w:rPr>
      </w:pPr>
    </w:p>
    <w:p>
      <w:pPr>
        <w:pStyle w:val="6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6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6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6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6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6"/>
        <w:rPr>
          <w:rFonts w:hint="eastAsia" w:ascii="华文中宋" w:hAnsi="华文中宋" w:eastAsia="华文中宋"/>
          <w:b/>
          <w:sz w:val="32"/>
        </w:rPr>
      </w:pPr>
    </w:p>
    <w:p>
      <w:pPr>
        <w:rPr>
          <w:rFonts w:hint="eastAsia" w:ascii="华文中宋" w:hAnsi="华文中宋" w:eastAsia="华文中宋"/>
          <w:b/>
          <w:sz w:val="32"/>
        </w:rPr>
      </w:pPr>
    </w:p>
    <w:p>
      <w:pPr>
        <w:pStyle w:val="6"/>
        <w:rPr>
          <w:rFonts w:hint="eastAsia"/>
        </w:rPr>
      </w:pPr>
    </w:p>
    <w:p>
      <w:pPr>
        <w:pStyle w:val="6"/>
        <w:rPr>
          <w:rFonts w:hint="default"/>
          <w:lang w:val="en-US" w:eastAsia="zh-CN"/>
        </w:rPr>
      </w:pPr>
      <w:bookmarkStart w:id="2" w:name="_GoBack"/>
      <w:bookmarkEnd w:id="2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3280452"/>
      <w:docPartObj>
        <w:docPartGallery w:val="autotext"/>
      </w:docPartObj>
    </w:sdtPr>
    <w:sdtContent>
      <w:p>
        <w:pPr>
          <w:pStyle w:val="10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5</w:t>
        </w:r>
        <w:r>
          <w:rPr>
            <w:lang w:val="zh-CN"/>
          </w:rPr>
          <w:fldChar w:fldCharType="end"/>
        </w:r>
      </w:p>
    </w:sdtContent>
  </w:sdt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46D7B6"/>
    <w:multiLevelType w:val="singleLevel"/>
    <w:tmpl w:val="6946D7B6"/>
    <w:lvl w:ilvl="0" w:tentative="0">
      <w:start w:val="3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trackRevisions w:val="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Y2MjE2NWRiNWExODdlZTQ4NmVmMGRlZmE1OTlkMzcifQ=="/>
  </w:docVars>
  <w:rsids>
    <w:rsidRoot w:val="00E22E45"/>
    <w:rsid w:val="00001C3B"/>
    <w:rsid w:val="000410A6"/>
    <w:rsid w:val="00050ED4"/>
    <w:rsid w:val="00051D2B"/>
    <w:rsid w:val="00074390"/>
    <w:rsid w:val="000D2646"/>
    <w:rsid w:val="00112B47"/>
    <w:rsid w:val="00113045"/>
    <w:rsid w:val="00192D51"/>
    <w:rsid w:val="001A7950"/>
    <w:rsid w:val="001B3AAF"/>
    <w:rsid w:val="0020468A"/>
    <w:rsid w:val="00213504"/>
    <w:rsid w:val="002408FC"/>
    <w:rsid w:val="002554A9"/>
    <w:rsid w:val="0025732E"/>
    <w:rsid w:val="00283F95"/>
    <w:rsid w:val="002907C5"/>
    <w:rsid w:val="002E2DA8"/>
    <w:rsid w:val="002E6E39"/>
    <w:rsid w:val="0031681B"/>
    <w:rsid w:val="003228B1"/>
    <w:rsid w:val="00347EC8"/>
    <w:rsid w:val="003A70FA"/>
    <w:rsid w:val="003C4A89"/>
    <w:rsid w:val="003E7865"/>
    <w:rsid w:val="003F606A"/>
    <w:rsid w:val="00403BD4"/>
    <w:rsid w:val="004228CC"/>
    <w:rsid w:val="00430CEE"/>
    <w:rsid w:val="0047555D"/>
    <w:rsid w:val="00495055"/>
    <w:rsid w:val="004A0936"/>
    <w:rsid w:val="004A6404"/>
    <w:rsid w:val="004E2FA8"/>
    <w:rsid w:val="004F483F"/>
    <w:rsid w:val="004F73FC"/>
    <w:rsid w:val="005039E6"/>
    <w:rsid w:val="0052389F"/>
    <w:rsid w:val="00541AF2"/>
    <w:rsid w:val="00541CCA"/>
    <w:rsid w:val="00545871"/>
    <w:rsid w:val="00580A53"/>
    <w:rsid w:val="005D51A2"/>
    <w:rsid w:val="00614CB0"/>
    <w:rsid w:val="00636BC4"/>
    <w:rsid w:val="006473E7"/>
    <w:rsid w:val="00674952"/>
    <w:rsid w:val="006762B3"/>
    <w:rsid w:val="00677CB1"/>
    <w:rsid w:val="00697A28"/>
    <w:rsid w:val="006A4403"/>
    <w:rsid w:val="006A49D1"/>
    <w:rsid w:val="006B47F8"/>
    <w:rsid w:val="006B66D9"/>
    <w:rsid w:val="006C0796"/>
    <w:rsid w:val="006D397F"/>
    <w:rsid w:val="006D6260"/>
    <w:rsid w:val="006F1148"/>
    <w:rsid w:val="006F1471"/>
    <w:rsid w:val="00700068"/>
    <w:rsid w:val="007F3F42"/>
    <w:rsid w:val="00810144"/>
    <w:rsid w:val="00823E53"/>
    <w:rsid w:val="00837BCE"/>
    <w:rsid w:val="008B08A0"/>
    <w:rsid w:val="008C0943"/>
    <w:rsid w:val="008C7F30"/>
    <w:rsid w:val="008F126A"/>
    <w:rsid w:val="008F6197"/>
    <w:rsid w:val="00914264"/>
    <w:rsid w:val="009C1FC5"/>
    <w:rsid w:val="009C55DC"/>
    <w:rsid w:val="00A56023"/>
    <w:rsid w:val="00A90013"/>
    <w:rsid w:val="00A91080"/>
    <w:rsid w:val="00AC4080"/>
    <w:rsid w:val="00AD7793"/>
    <w:rsid w:val="00B0488C"/>
    <w:rsid w:val="00B12D10"/>
    <w:rsid w:val="00B140BC"/>
    <w:rsid w:val="00B16835"/>
    <w:rsid w:val="00B21A3D"/>
    <w:rsid w:val="00B52DAF"/>
    <w:rsid w:val="00B6313B"/>
    <w:rsid w:val="00B86E23"/>
    <w:rsid w:val="00BE40F8"/>
    <w:rsid w:val="00C04E23"/>
    <w:rsid w:val="00C16401"/>
    <w:rsid w:val="00C22F6A"/>
    <w:rsid w:val="00C65737"/>
    <w:rsid w:val="00C717D3"/>
    <w:rsid w:val="00C71D2D"/>
    <w:rsid w:val="00C72768"/>
    <w:rsid w:val="00CD2F36"/>
    <w:rsid w:val="00CD7356"/>
    <w:rsid w:val="00CE62E8"/>
    <w:rsid w:val="00D23E2A"/>
    <w:rsid w:val="00D84C1E"/>
    <w:rsid w:val="00D8582B"/>
    <w:rsid w:val="00D915EF"/>
    <w:rsid w:val="00DD0717"/>
    <w:rsid w:val="00E22E45"/>
    <w:rsid w:val="00E23AE4"/>
    <w:rsid w:val="00E24F50"/>
    <w:rsid w:val="00E92CCE"/>
    <w:rsid w:val="00EB73D2"/>
    <w:rsid w:val="00EE732C"/>
    <w:rsid w:val="00F127B5"/>
    <w:rsid w:val="00F30A99"/>
    <w:rsid w:val="00F54FEB"/>
    <w:rsid w:val="00F56E20"/>
    <w:rsid w:val="00F64198"/>
    <w:rsid w:val="00F7479E"/>
    <w:rsid w:val="00F91F4A"/>
    <w:rsid w:val="00FE7076"/>
    <w:rsid w:val="016A75C1"/>
    <w:rsid w:val="01EE0DCD"/>
    <w:rsid w:val="02554973"/>
    <w:rsid w:val="099019C9"/>
    <w:rsid w:val="0BEF4460"/>
    <w:rsid w:val="0DB40D5F"/>
    <w:rsid w:val="0DC61272"/>
    <w:rsid w:val="17EE2139"/>
    <w:rsid w:val="1C3B161D"/>
    <w:rsid w:val="1C985A0D"/>
    <w:rsid w:val="1F2931B0"/>
    <w:rsid w:val="1FAA15A2"/>
    <w:rsid w:val="2B796EBE"/>
    <w:rsid w:val="300817D1"/>
    <w:rsid w:val="332B5D3D"/>
    <w:rsid w:val="38520016"/>
    <w:rsid w:val="3A2F783B"/>
    <w:rsid w:val="3D5529A7"/>
    <w:rsid w:val="3DBC3894"/>
    <w:rsid w:val="3E960D7F"/>
    <w:rsid w:val="420266F3"/>
    <w:rsid w:val="4962387D"/>
    <w:rsid w:val="4BBE6CC9"/>
    <w:rsid w:val="5074152A"/>
    <w:rsid w:val="57CC719B"/>
    <w:rsid w:val="5A00477A"/>
    <w:rsid w:val="5E9952E6"/>
    <w:rsid w:val="627D77E8"/>
    <w:rsid w:val="6333473F"/>
    <w:rsid w:val="68E44837"/>
    <w:rsid w:val="6A7A7481"/>
    <w:rsid w:val="6BC33991"/>
    <w:rsid w:val="73F41F8C"/>
    <w:rsid w:val="74324BCE"/>
    <w:rsid w:val="7CC50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link w:val="22"/>
    <w:qFormat/>
    <w:uiPriority w:val="9"/>
    <w:pPr>
      <w:keepNext/>
      <w:keepLines/>
      <w:spacing w:before="260" w:after="260" w:line="415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4">
    <w:name w:val="Normal Indent"/>
    <w:basedOn w:val="1"/>
    <w:qFormat/>
    <w:uiPriority w:val="0"/>
    <w:pPr>
      <w:ind w:firstLine="200" w:firstLineChars="200"/>
    </w:pPr>
  </w:style>
  <w:style w:type="paragraph" w:styleId="5">
    <w:name w:val="annotation text"/>
    <w:basedOn w:val="1"/>
    <w:semiHidden/>
    <w:unhideWhenUsed/>
    <w:qFormat/>
    <w:uiPriority w:val="99"/>
    <w:pPr>
      <w:jc w:val="left"/>
    </w:pPr>
  </w:style>
  <w:style w:type="paragraph" w:styleId="6">
    <w:name w:val="Body Text"/>
    <w:basedOn w:val="1"/>
    <w:next w:val="1"/>
    <w:semiHidden/>
    <w:unhideWhenUsed/>
    <w:qFormat/>
    <w:uiPriority w:val="0"/>
    <w:pPr>
      <w:spacing w:after="120"/>
    </w:pPr>
  </w:style>
  <w:style w:type="paragraph" w:styleId="7">
    <w:name w:val="Date"/>
    <w:basedOn w:val="1"/>
    <w:next w:val="1"/>
    <w:link w:val="25"/>
    <w:semiHidden/>
    <w:unhideWhenUsed/>
    <w:qFormat/>
    <w:uiPriority w:val="99"/>
    <w:pPr>
      <w:ind w:left="100" w:leftChars="2500"/>
    </w:pPr>
  </w:style>
  <w:style w:type="paragraph" w:styleId="8">
    <w:name w:val="endnote text"/>
    <w:basedOn w:val="1"/>
    <w:qFormat/>
    <w:uiPriority w:val="0"/>
    <w:pPr>
      <w:snapToGrid w:val="0"/>
      <w:jc w:val="left"/>
    </w:pPr>
  </w:style>
  <w:style w:type="paragraph" w:styleId="9">
    <w:name w:val="Balloon Text"/>
    <w:basedOn w:val="1"/>
    <w:link w:val="26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toc 1"/>
    <w:basedOn w:val="1"/>
    <w:next w:val="1"/>
    <w:qFormat/>
    <w:uiPriority w:val="39"/>
    <w:pPr>
      <w:spacing w:after="160" w:line="259" w:lineRule="auto"/>
    </w:pPr>
    <w:rPr>
      <w:rFonts w:ascii="Calibri" w:hAnsi="Calibri" w:eastAsia="宋体" w:cs="Times New Roman"/>
      <w:szCs w:val="24"/>
    </w:rPr>
  </w:style>
  <w:style w:type="paragraph" w:styleId="13">
    <w:name w:val="Normal (Web)"/>
    <w:basedOn w:val="1"/>
    <w:next w:val="8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table" w:styleId="15">
    <w:name w:val="Table Grid"/>
    <w:basedOn w:val="1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page number"/>
    <w:qFormat/>
    <w:uiPriority w:val="0"/>
  </w:style>
  <w:style w:type="character" w:styleId="18">
    <w:name w:val="Hyperlink"/>
    <w:basedOn w:val="16"/>
    <w:unhideWhenUsed/>
    <w:qFormat/>
    <w:uiPriority w:val="99"/>
    <w:rPr>
      <w:color w:val="0000FF" w:themeColor="hyperlink"/>
      <w:u w:val="single"/>
    </w:rPr>
  </w:style>
  <w:style w:type="character" w:customStyle="1" w:styleId="19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0">
    <w:name w:val="页脚 Char"/>
    <w:basedOn w:val="16"/>
    <w:link w:val="10"/>
    <w:qFormat/>
    <w:uiPriority w:val="99"/>
    <w:rPr>
      <w:sz w:val="18"/>
      <w:szCs w:val="18"/>
    </w:rPr>
  </w:style>
  <w:style w:type="paragraph" w:styleId="21">
    <w:name w:val="List Paragraph"/>
    <w:basedOn w:val="1"/>
    <w:qFormat/>
    <w:uiPriority w:val="34"/>
    <w:pPr>
      <w:ind w:firstLine="420" w:firstLineChars="200"/>
    </w:pPr>
  </w:style>
  <w:style w:type="character" w:customStyle="1" w:styleId="22">
    <w:name w:val="标题 2 Char"/>
    <w:basedOn w:val="16"/>
    <w:link w:val="3"/>
    <w:qFormat/>
    <w:uiPriority w:val="9"/>
    <w:rPr>
      <w:rFonts w:ascii="Arial" w:hAnsi="Arial" w:eastAsia="黑体" w:cs="Times New Roman"/>
      <w:b/>
      <w:bCs/>
      <w:sz w:val="32"/>
      <w:szCs w:val="32"/>
    </w:rPr>
  </w:style>
  <w:style w:type="character" w:customStyle="1" w:styleId="23">
    <w:name w:val="列出段落 Char"/>
    <w:link w:val="24"/>
    <w:qFormat/>
    <w:uiPriority w:val="34"/>
    <w:rPr>
      <w:rFonts w:ascii="宋体" w:hAnsi="宋体" w:cs="宋体"/>
      <w:sz w:val="24"/>
      <w:szCs w:val="24"/>
    </w:rPr>
  </w:style>
  <w:style w:type="paragraph" w:customStyle="1" w:styleId="24">
    <w:name w:val="列出段落1"/>
    <w:basedOn w:val="1"/>
    <w:link w:val="23"/>
    <w:qFormat/>
    <w:uiPriority w:val="34"/>
    <w:pPr>
      <w:widowControl/>
      <w:ind w:firstLine="420" w:firstLineChars="200"/>
      <w:jc w:val="left"/>
    </w:pPr>
    <w:rPr>
      <w:rFonts w:ascii="宋体" w:hAnsi="宋体" w:cs="宋体"/>
      <w:sz w:val="24"/>
      <w:szCs w:val="24"/>
    </w:rPr>
  </w:style>
  <w:style w:type="character" w:customStyle="1" w:styleId="25">
    <w:name w:val="日期 Char"/>
    <w:basedOn w:val="16"/>
    <w:link w:val="7"/>
    <w:semiHidden/>
    <w:qFormat/>
    <w:uiPriority w:val="99"/>
  </w:style>
  <w:style w:type="character" w:customStyle="1" w:styleId="26">
    <w:name w:val="批注框文本 Char"/>
    <w:basedOn w:val="16"/>
    <w:link w:val="9"/>
    <w:semiHidden/>
    <w:qFormat/>
    <w:uiPriority w:val="99"/>
    <w:rPr>
      <w:sz w:val="18"/>
      <w:szCs w:val="18"/>
    </w:rPr>
  </w:style>
  <w:style w:type="character" w:customStyle="1" w:styleId="27">
    <w:name w:val="font01"/>
    <w:basedOn w:val="1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paragraph" w:customStyle="1" w:styleId="28">
    <w:name w:val="正文首行缩进两字符"/>
    <w:basedOn w:val="1"/>
    <w:qFormat/>
    <w:uiPriority w:val="0"/>
    <w:pPr>
      <w:spacing w:line="360" w:lineRule="auto"/>
      <w:ind w:firstLine="20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3371</Words>
  <Characters>3567</Characters>
  <Lines>14</Lines>
  <Paragraphs>4</Paragraphs>
  <TotalTime>7</TotalTime>
  <ScaleCrop>false</ScaleCrop>
  <LinksUpToDate>false</LinksUpToDate>
  <CharactersWithSpaces>3648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2019-01-04T06:50:00Z</dcterms:created>
  <dc:creator>HOUQING</dc:creator>
  <cp:lastModifiedBy>cs</cp:lastModifiedBy>
  <cp:lastPrinted>2022-06-20T08:08:00Z</cp:lastPrinted>
  <dcterms:modified xsi:type="dcterms:W3CDTF">2023-04-13T09:18:11Z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EC3FD689C5D342D799BD160DC760BFDB</vt:lpwstr>
  </property>
</Properties>
</file>