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华文中宋" w:cs="Times New Roman"/>
          <w:b/>
          <w:sz w:val="32"/>
          <w:szCs w:val="22"/>
        </w:rPr>
      </w:pPr>
      <w:bookmarkStart w:id="0" w:name="_Hlt101233737"/>
      <w:bookmarkEnd w:id="0"/>
      <w:bookmarkStart w:id="1" w:name="_Hlt101843627"/>
      <w:bookmarkEnd w:id="1"/>
      <w:r>
        <w:rPr>
          <w:rFonts w:hint="default" w:ascii="Times New Roman" w:hAnsi="Times New Roman" w:eastAsia="华文中宋" w:cs="Times New Roman"/>
          <w:b/>
          <w:sz w:val="32"/>
          <w:lang w:val="en-US" w:eastAsia="zh-CN"/>
        </w:rPr>
        <w:t>附件</w:t>
      </w:r>
      <w:r>
        <w:rPr>
          <w:rFonts w:hint="eastAsia" w:ascii="Times New Roman" w:hAnsi="Times New Roman" w:eastAsia="华文中宋" w:cs="Times New Roman"/>
          <w:b/>
          <w:sz w:val="32"/>
          <w:lang w:val="en-US" w:eastAsia="zh-CN"/>
        </w:rPr>
        <w:t>3</w:t>
      </w:r>
      <w:r>
        <w:rPr>
          <w:rFonts w:hint="default" w:ascii="Times New Roman" w:hAnsi="Times New Roman" w:eastAsia="华文中宋" w:cs="Times New Roman"/>
          <w:b/>
          <w:sz w:val="32"/>
          <w:lang w:val="en-US" w:eastAsia="zh-CN"/>
        </w:rPr>
        <w:t>：</w:t>
      </w:r>
      <w:r>
        <w:rPr>
          <w:rFonts w:hint="default" w:ascii="Times New Roman" w:hAnsi="Times New Roman" w:eastAsia="华文中宋" w:cs="Times New Roman"/>
          <w:b/>
          <w:sz w:val="32"/>
          <w:szCs w:val="22"/>
        </w:rPr>
        <w:t>综合评分明细表</w:t>
      </w:r>
    </w:p>
    <w:tbl>
      <w:tblPr>
        <w:tblStyle w:val="16"/>
        <w:tblW w:w="5705" w:type="pct"/>
        <w:jc w:val="center"/>
        <w:tblLayout w:type="autofit"/>
        <w:tblCellMar>
          <w:top w:w="0" w:type="dxa"/>
          <w:left w:w="108" w:type="dxa"/>
          <w:bottom w:w="0" w:type="dxa"/>
          <w:right w:w="108" w:type="dxa"/>
        </w:tblCellMar>
      </w:tblPr>
      <w:tblGrid>
        <w:gridCol w:w="645"/>
        <w:gridCol w:w="1090"/>
        <w:gridCol w:w="687"/>
        <w:gridCol w:w="5224"/>
        <w:gridCol w:w="2078"/>
      </w:tblGrid>
      <w:tr>
        <w:tblPrEx>
          <w:tblCellMar>
            <w:top w:w="0" w:type="dxa"/>
            <w:left w:w="108" w:type="dxa"/>
            <w:bottom w:w="0" w:type="dxa"/>
            <w:right w:w="108" w:type="dxa"/>
          </w:tblCellMar>
        </w:tblPrEx>
        <w:trPr>
          <w:trHeight w:val="684" w:hRule="atLeast"/>
          <w:jc w:val="center"/>
        </w:trPr>
        <w:tc>
          <w:tcPr>
            <w:tcW w:w="332"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ind w:firstLine="28"/>
              <w:jc w:val="center"/>
              <w:rPr>
                <w:rFonts w:ascii="宋体" w:hAnsi="宋体"/>
                <w:b/>
              </w:rPr>
            </w:pPr>
            <w:r>
              <w:rPr>
                <w:rFonts w:ascii="宋体" w:hAnsi="宋体"/>
                <w:b/>
              </w:rPr>
              <w:t>序号</w:t>
            </w:r>
          </w:p>
        </w:tc>
        <w:tc>
          <w:tcPr>
            <w:tcW w:w="560" w:type="pct"/>
            <w:tcBorders>
              <w:top w:val="single" w:color="000000" w:sz="4" w:space="0"/>
              <w:bottom w:val="single" w:color="000000" w:sz="4" w:space="0"/>
              <w:right w:val="single" w:color="000000" w:sz="4" w:space="0"/>
            </w:tcBorders>
            <w:vAlign w:val="center"/>
          </w:tcPr>
          <w:p>
            <w:pPr>
              <w:autoSpaceDN w:val="0"/>
              <w:spacing w:line="360" w:lineRule="auto"/>
              <w:ind w:firstLine="28"/>
              <w:jc w:val="center"/>
              <w:rPr>
                <w:rFonts w:ascii="宋体" w:hAnsi="宋体"/>
                <w:b/>
              </w:rPr>
            </w:pPr>
            <w:r>
              <w:rPr>
                <w:rFonts w:ascii="宋体" w:hAnsi="宋体"/>
                <w:b/>
              </w:rPr>
              <w:t>评分因素</w:t>
            </w:r>
          </w:p>
        </w:tc>
        <w:tc>
          <w:tcPr>
            <w:tcW w:w="353" w:type="pct"/>
            <w:tcBorders>
              <w:top w:val="single" w:color="000000" w:sz="4" w:space="0"/>
              <w:bottom w:val="single" w:color="000000" w:sz="4" w:space="0"/>
              <w:right w:val="single" w:color="000000" w:sz="4" w:space="0"/>
            </w:tcBorders>
            <w:vAlign w:val="center"/>
          </w:tcPr>
          <w:p>
            <w:pPr>
              <w:autoSpaceDN w:val="0"/>
              <w:spacing w:line="360" w:lineRule="auto"/>
              <w:ind w:firstLine="28"/>
              <w:jc w:val="center"/>
              <w:rPr>
                <w:rFonts w:ascii="宋体" w:hAnsi="宋体"/>
                <w:b/>
              </w:rPr>
            </w:pPr>
            <w:r>
              <w:rPr>
                <w:rFonts w:ascii="宋体" w:hAnsi="宋体"/>
                <w:b/>
              </w:rPr>
              <w:t>分值</w:t>
            </w:r>
          </w:p>
        </w:tc>
        <w:tc>
          <w:tcPr>
            <w:tcW w:w="2685" w:type="pct"/>
            <w:tcBorders>
              <w:top w:val="single" w:color="000000" w:sz="4" w:space="0"/>
              <w:bottom w:val="single" w:color="000000" w:sz="4" w:space="0"/>
              <w:right w:val="single" w:color="000000" w:sz="4" w:space="0"/>
            </w:tcBorders>
            <w:vAlign w:val="center"/>
          </w:tcPr>
          <w:p>
            <w:pPr>
              <w:autoSpaceDN w:val="0"/>
              <w:spacing w:line="360" w:lineRule="auto"/>
              <w:ind w:firstLine="28"/>
              <w:jc w:val="center"/>
              <w:rPr>
                <w:rFonts w:ascii="宋体" w:hAnsi="宋体"/>
                <w:b/>
              </w:rPr>
            </w:pPr>
            <w:r>
              <w:rPr>
                <w:rFonts w:ascii="宋体" w:hAnsi="宋体"/>
                <w:b/>
              </w:rPr>
              <w:t>评分标准</w:t>
            </w:r>
          </w:p>
        </w:tc>
        <w:tc>
          <w:tcPr>
            <w:tcW w:w="1068" w:type="pct"/>
            <w:tcBorders>
              <w:top w:val="single" w:color="000000" w:sz="4" w:space="0"/>
              <w:bottom w:val="single" w:color="000000" w:sz="4" w:space="0"/>
              <w:right w:val="single" w:color="000000" w:sz="4" w:space="0"/>
            </w:tcBorders>
            <w:vAlign w:val="center"/>
          </w:tcPr>
          <w:p>
            <w:pPr>
              <w:autoSpaceDN w:val="0"/>
              <w:spacing w:line="360" w:lineRule="auto"/>
              <w:ind w:firstLine="28"/>
              <w:jc w:val="center"/>
              <w:rPr>
                <w:rFonts w:ascii="宋体" w:hAnsi="宋体"/>
                <w:b/>
              </w:rPr>
            </w:pPr>
            <w:r>
              <w:rPr>
                <w:rFonts w:ascii="宋体" w:hAnsi="宋体"/>
                <w:b/>
              </w:rPr>
              <w:t>备注</w:t>
            </w:r>
          </w:p>
        </w:tc>
      </w:tr>
      <w:tr>
        <w:tblPrEx>
          <w:tblCellMar>
            <w:top w:w="0" w:type="dxa"/>
            <w:left w:w="108" w:type="dxa"/>
            <w:bottom w:w="0" w:type="dxa"/>
            <w:right w:w="108" w:type="dxa"/>
          </w:tblCellMar>
        </w:tblPrEx>
        <w:trPr>
          <w:trHeight w:val="350" w:hRule="atLeast"/>
          <w:jc w:val="center"/>
        </w:trPr>
        <w:tc>
          <w:tcPr>
            <w:tcW w:w="332"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ind w:firstLine="235"/>
              <w:jc w:val="center"/>
              <w:rPr>
                <w:rFonts w:ascii="宋体" w:hAnsi="宋体"/>
              </w:rPr>
            </w:pPr>
            <w:r>
              <w:rPr>
                <w:rFonts w:ascii="宋体" w:hAnsi="宋体"/>
              </w:rPr>
              <w:t>1</w:t>
            </w:r>
          </w:p>
        </w:tc>
        <w:tc>
          <w:tcPr>
            <w:tcW w:w="560" w:type="pct"/>
            <w:tcBorders>
              <w:top w:val="single" w:color="000000" w:sz="4" w:space="0"/>
              <w:bottom w:val="single" w:color="000000" w:sz="4" w:space="0"/>
              <w:right w:val="single" w:color="000000" w:sz="4" w:space="0"/>
            </w:tcBorders>
            <w:vAlign w:val="center"/>
          </w:tcPr>
          <w:p>
            <w:pPr>
              <w:autoSpaceDN w:val="0"/>
              <w:spacing w:line="360" w:lineRule="auto"/>
              <w:ind w:firstLine="28"/>
              <w:jc w:val="center"/>
              <w:rPr>
                <w:rFonts w:ascii="宋体" w:hAnsi="宋体"/>
              </w:rPr>
            </w:pPr>
            <w:r>
              <w:rPr>
                <w:rFonts w:ascii="宋体" w:hAnsi="宋体"/>
              </w:rPr>
              <w:t>报价</w:t>
            </w:r>
          </w:p>
        </w:tc>
        <w:tc>
          <w:tcPr>
            <w:tcW w:w="353" w:type="pct"/>
            <w:tcBorders>
              <w:top w:val="single" w:color="000000" w:sz="4" w:space="0"/>
              <w:bottom w:val="single" w:color="000000" w:sz="4" w:space="0"/>
              <w:right w:val="single" w:color="000000" w:sz="4" w:space="0"/>
            </w:tcBorders>
            <w:vAlign w:val="center"/>
          </w:tcPr>
          <w:p>
            <w:pPr>
              <w:autoSpaceDN w:val="0"/>
              <w:spacing w:line="360" w:lineRule="auto"/>
              <w:jc w:val="center"/>
              <w:rPr>
                <w:rFonts w:ascii="宋体" w:hAnsi="宋体"/>
              </w:rPr>
            </w:pPr>
            <w:r>
              <w:rPr>
                <w:rFonts w:hint="eastAsia" w:ascii="宋体" w:hAnsi="宋体"/>
                <w:lang w:val="en-US" w:eastAsia="zh-CN"/>
              </w:rPr>
              <w:t>30</w:t>
            </w:r>
            <w:r>
              <w:rPr>
                <w:rFonts w:ascii="宋体" w:hAnsi="宋体"/>
              </w:rPr>
              <w:t>分</w:t>
            </w:r>
          </w:p>
        </w:tc>
        <w:tc>
          <w:tcPr>
            <w:tcW w:w="2685" w:type="pct"/>
            <w:tcBorders>
              <w:top w:val="single" w:color="000000" w:sz="4" w:space="0"/>
              <w:bottom w:val="single" w:color="000000" w:sz="4" w:space="0"/>
              <w:right w:val="single" w:color="000000" w:sz="4" w:space="0"/>
            </w:tcBorders>
          </w:tcPr>
          <w:p>
            <w:pPr>
              <w:autoSpaceDN w:val="0"/>
              <w:spacing w:line="300" w:lineRule="exact"/>
              <w:rPr>
                <w:rFonts w:hint="default" w:ascii="宋体" w:hAnsi="宋体" w:eastAsia="宋体" w:cs="宋体"/>
                <w:szCs w:val="21"/>
                <w:lang w:val="en-US" w:eastAsia="zh-CN"/>
              </w:rPr>
            </w:pPr>
            <w:r>
              <w:rPr>
                <w:rFonts w:hint="eastAsia" w:ascii="宋体" w:hAnsi="宋体" w:eastAsia="宋体" w:cs="宋体"/>
                <w:szCs w:val="21"/>
              </w:rPr>
              <w:t>以本次最低有效投标报价为基准价，投标报价得分=(基准价／投标报价)×</w:t>
            </w:r>
            <w:r>
              <w:rPr>
                <w:rFonts w:hint="eastAsia" w:ascii="宋体" w:hAnsi="宋体" w:eastAsia="宋体" w:cs="宋体"/>
                <w:szCs w:val="21"/>
                <w:lang w:val="en-US" w:eastAsia="zh-CN"/>
              </w:rPr>
              <w:t>30</w:t>
            </w:r>
          </w:p>
        </w:tc>
        <w:tc>
          <w:tcPr>
            <w:tcW w:w="1068" w:type="pct"/>
            <w:tcBorders>
              <w:top w:val="single" w:color="000000" w:sz="4" w:space="0"/>
              <w:bottom w:val="single" w:color="000000" w:sz="4" w:space="0"/>
              <w:right w:val="single" w:color="000000" w:sz="4" w:space="0"/>
            </w:tcBorders>
          </w:tcPr>
          <w:p>
            <w:pPr>
              <w:autoSpaceDN w:val="0"/>
              <w:spacing w:line="300" w:lineRule="exact"/>
              <w:rPr>
                <w:rFonts w:ascii="宋体" w:hAnsi="宋体"/>
              </w:rPr>
            </w:pPr>
            <w:r>
              <w:rPr>
                <w:rFonts w:ascii="宋体" w:hAnsi="宋体"/>
              </w:rPr>
              <w:t>（共同评分因素）</w:t>
            </w:r>
          </w:p>
        </w:tc>
      </w:tr>
      <w:tr>
        <w:tblPrEx>
          <w:tblCellMar>
            <w:top w:w="0" w:type="dxa"/>
            <w:left w:w="108" w:type="dxa"/>
            <w:bottom w:w="0" w:type="dxa"/>
            <w:right w:w="108" w:type="dxa"/>
          </w:tblCellMar>
        </w:tblPrEx>
        <w:trPr>
          <w:trHeight w:val="558" w:hRule="atLeast"/>
          <w:jc w:val="center"/>
        </w:trPr>
        <w:tc>
          <w:tcPr>
            <w:tcW w:w="332"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ind w:firstLine="235"/>
              <w:jc w:val="center"/>
              <w:rPr>
                <w:rFonts w:ascii="宋体" w:hAnsi="宋体"/>
              </w:rPr>
            </w:pPr>
            <w:r>
              <w:rPr>
                <w:rFonts w:ascii="宋体" w:hAnsi="宋体"/>
              </w:rPr>
              <w:t>2</w:t>
            </w:r>
          </w:p>
        </w:tc>
        <w:tc>
          <w:tcPr>
            <w:tcW w:w="560" w:type="pct"/>
            <w:tcBorders>
              <w:top w:val="single" w:color="000000" w:sz="4" w:space="0"/>
              <w:bottom w:val="single" w:color="000000" w:sz="4" w:space="0"/>
              <w:right w:val="single" w:color="000000" w:sz="4" w:space="0"/>
            </w:tcBorders>
            <w:vAlign w:val="center"/>
          </w:tcPr>
          <w:p>
            <w:pPr>
              <w:autoSpaceDN w:val="0"/>
              <w:spacing w:line="360" w:lineRule="auto"/>
              <w:jc w:val="center"/>
              <w:rPr>
                <w:rFonts w:ascii="宋体" w:hAnsi="宋体"/>
              </w:rPr>
            </w:pPr>
            <w:r>
              <w:rPr>
                <w:rFonts w:ascii="宋体" w:hAnsi="宋体"/>
              </w:rPr>
              <w:t>技术指标和配置</w:t>
            </w:r>
          </w:p>
        </w:tc>
        <w:tc>
          <w:tcPr>
            <w:tcW w:w="353" w:type="pct"/>
            <w:tcBorders>
              <w:top w:val="single" w:color="000000" w:sz="4" w:space="0"/>
              <w:bottom w:val="single" w:color="000000" w:sz="4" w:space="0"/>
              <w:right w:val="single" w:color="000000" w:sz="4" w:space="0"/>
            </w:tcBorders>
            <w:vAlign w:val="center"/>
          </w:tcPr>
          <w:p>
            <w:pPr>
              <w:autoSpaceDN w:val="0"/>
              <w:spacing w:line="360" w:lineRule="auto"/>
              <w:jc w:val="center"/>
              <w:rPr>
                <w:rFonts w:ascii="宋体" w:hAnsi="宋体"/>
              </w:rPr>
            </w:pPr>
            <w:r>
              <w:rPr>
                <w:rFonts w:hint="eastAsia" w:ascii="宋体" w:hAnsi="宋体"/>
                <w:lang w:val="en-US" w:eastAsia="zh-CN"/>
              </w:rPr>
              <w:t>36</w:t>
            </w:r>
            <w:r>
              <w:rPr>
                <w:rFonts w:ascii="宋体" w:hAnsi="宋体"/>
              </w:rPr>
              <w:t>分</w:t>
            </w:r>
          </w:p>
        </w:tc>
        <w:tc>
          <w:tcPr>
            <w:tcW w:w="2685" w:type="pct"/>
            <w:tcBorders>
              <w:top w:val="single" w:color="000000" w:sz="4" w:space="0"/>
              <w:bottom w:val="single" w:color="000000" w:sz="4" w:space="0"/>
              <w:right w:val="single" w:color="000000" w:sz="4" w:space="0"/>
            </w:tcBorders>
          </w:tcPr>
          <w:p>
            <w:pPr>
              <w:widowControl/>
              <w:autoSpaceDN w:val="0"/>
              <w:spacing w:line="300" w:lineRule="exact"/>
              <w:rPr>
                <w:rFonts w:hint="eastAsia" w:ascii="宋体" w:hAnsi="宋体" w:eastAsia="宋体" w:cs="宋体"/>
                <w:szCs w:val="21"/>
              </w:rPr>
            </w:pPr>
            <w:r>
              <w:rPr>
                <w:rFonts w:hint="eastAsia" w:ascii="宋体" w:hAnsi="宋体" w:eastAsia="宋体" w:cs="宋体"/>
                <w:szCs w:val="21"/>
              </w:rPr>
              <w:t>投标人针对招标文件第六章的一般技术参数条款的响应得分规则如下：</w:t>
            </w:r>
            <w:r>
              <w:rPr>
                <w:rFonts w:hint="eastAsia" w:ascii="宋体" w:hAnsi="宋体" w:eastAsia="宋体" w:cs="宋体"/>
                <w:szCs w:val="21"/>
                <w:lang w:val="en-US" w:eastAsia="zh-CN"/>
              </w:rPr>
              <w:t>一</w:t>
            </w:r>
            <w:r>
              <w:rPr>
                <w:rFonts w:hint="eastAsia" w:ascii="宋体" w:hAnsi="宋体" w:eastAsia="宋体" w:cs="宋体"/>
                <w:sz w:val="21"/>
                <w:szCs w:val="21"/>
              </w:rPr>
              <w:t>般技术参数条款响应得分=（投标人满足一般技术参数条款的数量÷一般技术参数条款的总数量）×3</w:t>
            </w:r>
            <w:r>
              <w:rPr>
                <w:rFonts w:hint="eastAsia" w:ascii="宋体" w:hAnsi="宋体" w:eastAsia="宋体" w:cs="宋体"/>
                <w:sz w:val="21"/>
                <w:szCs w:val="21"/>
                <w:lang w:val="en-US" w:eastAsia="zh-CN"/>
              </w:rPr>
              <w:t>6</w:t>
            </w:r>
            <w:r>
              <w:rPr>
                <w:rFonts w:hint="eastAsia" w:ascii="宋体" w:hAnsi="宋体" w:eastAsia="宋体" w:cs="宋体"/>
                <w:sz w:val="21"/>
                <w:szCs w:val="21"/>
              </w:rPr>
              <w:t>分。（共</w:t>
            </w:r>
            <w:r>
              <w:rPr>
                <w:rFonts w:hint="eastAsia" w:ascii="宋体" w:hAnsi="宋体" w:eastAsia="宋体" w:cs="宋体"/>
                <w:sz w:val="21"/>
                <w:szCs w:val="21"/>
                <w:lang w:eastAsia="zh-CN"/>
              </w:rPr>
              <w:t>7</w:t>
            </w:r>
            <w:r>
              <w:rPr>
                <w:rFonts w:hint="eastAsia" w:ascii="宋体" w:hAnsi="宋体" w:eastAsia="宋体" w:cs="宋体"/>
                <w:sz w:val="21"/>
                <w:szCs w:val="21"/>
                <w:lang w:val="en-US" w:eastAsia="zh-CN"/>
              </w:rPr>
              <w:t>5</w:t>
            </w:r>
            <w:r>
              <w:rPr>
                <w:rFonts w:hint="eastAsia" w:ascii="宋体" w:hAnsi="宋体" w:eastAsia="宋体" w:cs="宋体"/>
                <w:sz w:val="21"/>
                <w:szCs w:val="21"/>
              </w:rPr>
              <w:t>条，保留至小数点后2位）</w:t>
            </w:r>
          </w:p>
          <w:p>
            <w:pPr>
              <w:autoSpaceDN w:val="0"/>
              <w:spacing w:line="300" w:lineRule="exact"/>
              <w:rPr>
                <w:rFonts w:hint="eastAsia" w:ascii="宋体" w:hAnsi="宋体" w:eastAsia="宋体" w:cs="宋体"/>
                <w:szCs w:val="21"/>
              </w:rPr>
            </w:pPr>
            <w:r>
              <w:rPr>
                <w:rFonts w:hint="eastAsia" w:ascii="宋体" w:hAnsi="宋体" w:eastAsia="宋体" w:cs="宋体"/>
                <w:szCs w:val="21"/>
              </w:rPr>
              <w:t>注：</w:t>
            </w:r>
          </w:p>
          <w:p>
            <w:pPr>
              <w:autoSpaceDN w:val="0"/>
              <w:spacing w:line="300" w:lineRule="exact"/>
              <w:rPr>
                <w:rFonts w:hint="eastAsia" w:ascii="宋体" w:hAnsi="宋体" w:eastAsia="宋体" w:cs="宋体"/>
                <w:szCs w:val="21"/>
              </w:rPr>
            </w:pPr>
            <w:r>
              <w:rPr>
                <w:rFonts w:hint="eastAsia" w:ascii="宋体" w:hAnsi="宋体" w:eastAsia="宋体" w:cs="宋体"/>
                <w:szCs w:val="21"/>
              </w:rPr>
              <w:t>①针对一般条款的技术响应，如果招标文件第六章“技术参数要求”中技术参数条款对技术支撑材料有要求，应按要求提供，否则对应技术参数条款将视为不满足。</w:t>
            </w:r>
          </w:p>
          <w:p>
            <w:pPr>
              <w:autoSpaceDN w:val="0"/>
              <w:spacing w:line="300" w:lineRule="exact"/>
              <w:rPr>
                <w:rFonts w:hint="eastAsia" w:ascii="宋体" w:hAnsi="宋体" w:eastAsia="宋体" w:cs="宋体"/>
                <w:szCs w:val="21"/>
              </w:rPr>
            </w:pPr>
            <w:r>
              <w:rPr>
                <w:rFonts w:hint="eastAsia" w:ascii="宋体" w:hAnsi="宋体" w:eastAsia="宋体" w:cs="宋体"/>
                <w:szCs w:val="21"/>
                <w:lang w:val="en-US" w:eastAsia="zh-CN"/>
              </w:rPr>
              <w:t>②</w:t>
            </w:r>
            <w:r>
              <w:rPr>
                <w:rFonts w:hint="eastAsia" w:ascii="宋体" w:hAnsi="宋体" w:eastAsia="宋体" w:cs="宋体"/>
                <w:szCs w:val="21"/>
              </w:rPr>
              <w:t>评分小数点保留两位数</w:t>
            </w:r>
          </w:p>
        </w:tc>
        <w:tc>
          <w:tcPr>
            <w:tcW w:w="1068" w:type="pct"/>
            <w:tcBorders>
              <w:top w:val="single" w:color="000000" w:sz="4" w:space="0"/>
              <w:bottom w:val="single" w:color="000000" w:sz="4" w:space="0"/>
              <w:right w:val="single" w:color="000000" w:sz="4" w:space="0"/>
            </w:tcBorders>
          </w:tcPr>
          <w:p>
            <w:pPr>
              <w:spacing w:line="300" w:lineRule="exact"/>
              <w:rPr>
                <w:rFonts w:ascii="宋体" w:hAnsi="宋体"/>
              </w:rPr>
            </w:pPr>
            <w:r>
              <w:rPr>
                <w:rFonts w:hint="eastAsia" w:ascii="宋体" w:hAnsi="宋体" w:eastAsia="宋体" w:cs="宋体"/>
                <w:szCs w:val="21"/>
              </w:rPr>
              <w:t>投标人</w:t>
            </w:r>
            <w:r>
              <w:rPr>
                <w:rFonts w:ascii="宋体" w:hAnsi="宋体"/>
              </w:rPr>
              <w:t>须认真核实所有技术支持资料，并对其在响应文件中提供的技术支持资料的真实性负责，并承担由此带来的一切法律责任和后果。</w:t>
            </w:r>
          </w:p>
          <w:p>
            <w:pPr>
              <w:spacing w:line="300" w:lineRule="exact"/>
              <w:rPr>
                <w:rFonts w:ascii="宋体" w:hAnsi="宋体"/>
              </w:rPr>
            </w:pPr>
            <w:r>
              <w:rPr>
                <w:rFonts w:ascii="宋体" w:hAnsi="宋体"/>
              </w:rPr>
              <w:t>（技术类评分因素）</w:t>
            </w:r>
          </w:p>
        </w:tc>
      </w:tr>
      <w:tr>
        <w:tblPrEx>
          <w:tblCellMar>
            <w:top w:w="0" w:type="dxa"/>
            <w:left w:w="108" w:type="dxa"/>
            <w:bottom w:w="0" w:type="dxa"/>
            <w:right w:w="108" w:type="dxa"/>
          </w:tblCellMar>
        </w:tblPrEx>
        <w:trPr>
          <w:trHeight w:val="350" w:hRule="atLeast"/>
          <w:jc w:val="center"/>
        </w:trPr>
        <w:tc>
          <w:tcPr>
            <w:tcW w:w="332"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ind w:firstLine="235"/>
              <w:jc w:val="center"/>
              <w:rPr>
                <w:rFonts w:hint="eastAsia" w:ascii="宋体" w:hAnsi="宋体" w:eastAsiaTheme="minorEastAsia"/>
                <w:lang w:eastAsia="zh-CN"/>
              </w:rPr>
            </w:pPr>
            <w:r>
              <w:rPr>
                <w:rFonts w:hint="eastAsia" w:ascii="宋体" w:hAnsi="宋体"/>
                <w:lang w:val="en-US" w:eastAsia="zh-CN"/>
              </w:rPr>
              <w:t>3</w:t>
            </w:r>
          </w:p>
        </w:tc>
        <w:tc>
          <w:tcPr>
            <w:tcW w:w="560" w:type="pct"/>
            <w:tcBorders>
              <w:top w:val="single" w:color="000000" w:sz="4" w:space="0"/>
              <w:bottom w:val="single" w:color="000000" w:sz="4" w:space="0"/>
              <w:right w:val="single" w:color="000000" w:sz="4" w:space="0"/>
            </w:tcBorders>
            <w:vAlign w:val="center"/>
          </w:tcPr>
          <w:p>
            <w:pPr>
              <w:autoSpaceDN w:val="0"/>
              <w:spacing w:line="360" w:lineRule="auto"/>
              <w:jc w:val="center"/>
              <w:rPr>
                <w:rFonts w:ascii="宋体" w:hAnsi="宋体"/>
              </w:rPr>
            </w:pPr>
            <w:r>
              <w:rPr>
                <w:rFonts w:ascii="宋体" w:hAnsi="宋体"/>
              </w:rPr>
              <w:t>业绩</w:t>
            </w:r>
          </w:p>
        </w:tc>
        <w:tc>
          <w:tcPr>
            <w:tcW w:w="353" w:type="pct"/>
            <w:tcBorders>
              <w:top w:val="single" w:color="000000" w:sz="4" w:space="0"/>
              <w:bottom w:val="single" w:color="000000" w:sz="4" w:space="0"/>
              <w:right w:val="single" w:color="000000" w:sz="4" w:space="0"/>
            </w:tcBorders>
            <w:vAlign w:val="center"/>
          </w:tcPr>
          <w:p>
            <w:pPr>
              <w:autoSpaceDN w:val="0"/>
              <w:spacing w:line="360" w:lineRule="auto"/>
              <w:jc w:val="center"/>
              <w:rPr>
                <w:rFonts w:ascii="宋体" w:hAnsi="宋体"/>
              </w:rPr>
            </w:pPr>
            <w:r>
              <w:rPr>
                <w:rFonts w:hint="eastAsia" w:ascii="宋体" w:hAnsi="宋体"/>
                <w:lang w:val="en-US" w:eastAsia="zh-CN"/>
              </w:rPr>
              <w:t>5</w:t>
            </w:r>
            <w:r>
              <w:rPr>
                <w:rFonts w:ascii="宋体" w:hAnsi="宋体"/>
              </w:rPr>
              <w:t>分</w:t>
            </w:r>
          </w:p>
        </w:tc>
        <w:tc>
          <w:tcPr>
            <w:tcW w:w="2685" w:type="pct"/>
            <w:tcBorders>
              <w:top w:val="single" w:color="000000" w:sz="4" w:space="0"/>
              <w:bottom w:val="single" w:color="000000" w:sz="4" w:space="0"/>
              <w:right w:val="single" w:color="000000" w:sz="4" w:space="0"/>
            </w:tcBorders>
          </w:tcPr>
          <w:p>
            <w:pPr>
              <w:autoSpaceDN w:val="0"/>
              <w:spacing w:line="300" w:lineRule="exact"/>
              <w:rPr>
                <w:rFonts w:hint="eastAsia" w:ascii="宋体" w:hAnsi="宋体" w:eastAsia="宋体" w:cs="宋体"/>
                <w:szCs w:val="21"/>
              </w:rPr>
            </w:pPr>
            <w:r>
              <w:rPr>
                <w:rFonts w:hint="eastAsia" w:ascii="宋体" w:hAnsi="宋体" w:eastAsia="宋体" w:cs="宋体"/>
                <w:szCs w:val="21"/>
              </w:rPr>
              <w:t>供应商自2019年1月1日至今每有一个类似案例得1分，最多得</w:t>
            </w:r>
            <w:r>
              <w:rPr>
                <w:rFonts w:hint="eastAsia" w:ascii="宋体" w:hAnsi="宋体" w:eastAsia="宋体" w:cs="宋体"/>
                <w:szCs w:val="21"/>
                <w:lang w:val="en-US" w:eastAsia="zh-CN"/>
              </w:rPr>
              <w:t>5</w:t>
            </w:r>
            <w:r>
              <w:rPr>
                <w:rFonts w:hint="eastAsia" w:ascii="宋体" w:hAnsi="宋体" w:eastAsia="宋体" w:cs="宋体"/>
                <w:szCs w:val="21"/>
              </w:rPr>
              <w:t>分。</w:t>
            </w:r>
          </w:p>
          <w:p>
            <w:pPr>
              <w:autoSpaceDN w:val="0"/>
              <w:spacing w:line="300" w:lineRule="exact"/>
              <w:rPr>
                <w:rFonts w:hint="eastAsia" w:ascii="宋体" w:hAnsi="宋体" w:eastAsia="宋体" w:cs="宋体"/>
                <w:szCs w:val="21"/>
                <w:lang w:eastAsia="zh-CN"/>
              </w:rPr>
            </w:pPr>
            <w:r>
              <w:rPr>
                <w:rFonts w:hint="eastAsia" w:ascii="宋体" w:hAnsi="宋体" w:eastAsia="宋体" w:cs="宋体"/>
                <w:szCs w:val="21"/>
              </w:rPr>
              <w:t>类似案例是指:三级及以上等保测评</w:t>
            </w:r>
            <w:r>
              <w:rPr>
                <w:rFonts w:hint="eastAsia" w:ascii="宋体" w:hAnsi="宋体" w:eastAsia="宋体" w:cs="宋体"/>
                <w:szCs w:val="21"/>
                <w:lang w:eastAsia="zh-CN"/>
              </w:rPr>
              <w:t>（</w:t>
            </w:r>
            <w:r>
              <w:rPr>
                <w:rFonts w:hint="eastAsia" w:ascii="宋体" w:hAnsi="宋体"/>
                <w:lang w:val="en-US" w:eastAsia="zh-CN"/>
              </w:rPr>
              <w:t>投标人</w:t>
            </w:r>
            <w:r>
              <w:rPr>
                <w:rFonts w:hint="eastAsia" w:ascii="宋体" w:hAnsi="宋体" w:eastAsiaTheme="minorEastAsia"/>
                <w:szCs w:val="22"/>
              </w:rPr>
              <w:t>需提供合同复印件或中标通知书复印件加盖供应商公章</w:t>
            </w:r>
            <w:r>
              <w:rPr>
                <w:rFonts w:hint="eastAsia" w:ascii="宋体" w:hAnsi="宋体" w:eastAsia="宋体" w:cs="宋体"/>
                <w:szCs w:val="21"/>
                <w:lang w:eastAsia="zh-CN"/>
              </w:rPr>
              <w:t>）</w:t>
            </w:r>
          </w:p>
        </w:tc>
        <w:tc>
          <w:tcPr>
            <w:tcW w:w="1068" w:type="pct"/>
            <w:tcBorders>
              <w:top w:val="single" w:color="000000" w:sz="4" w:space="0"/>
              <w:bottom w:val="single" w:color="000000" w:sz="4" w:space="0"/>
              <w:right w:val="single" w:color="000000" w:sz="4" w:space="0"/>
            </w:tcBorders>
          </w:tcPr>
          <w:p>
            <w:pPr>
              <w:autoSpaceDN w:val="0"/>
              <w:spacing w:line="300" w:lineRule="exact"/>
              <w:rPr>
                <w:rFonts w:ascii="宋体" w:hAnsi="宋体"/>
              </w:rPr>
            </w:pPr>
            <w:r>
              <w:rPr>
                <w:rFonts w:hint="eastAsia" w:ascii="宋体" w:hAnsi="宋体"/>
                <w:szCs w:val="22"/>
                <w:lang w:eastAsia="zh-CN"/>
              </w:rPr>
              <w:t>（</w:t>
            </w:r>
            <w:r>
              <w:rPr>
                <w:rFonts w:ascii="宋体" w:hAnsi="宋体"/>
              </w:rPr>
              <w:t>共同评分因素）</w:t>
            </w:r>
          </w:p>
        </w:tc>
      </w:tr>
      <w:tr>
        <w:tblPrEx>
          <w:tblCellMar>
            <w:top w:w="0" w:type="dxa"/>
            <w:left w:w="108" w:type="dxa"/>
            <w:bottom w:w="0" w:type="dxa"/>
            <w:right w:w="108" w:type="dxa"/>
          </w:tblCellMar>
        </w:tblPrEx>
        <w:trPr>
          <w:trHeight w:val="350" w:hRule="atLeast"/>
          <w:jc w:val="center"/>
        </w:trPr>
        <w:tc>
          <w:tcPr>
            <w:tcW w:w="332"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ind w:firstLine="235"/>
              <w:jc w:val="center"/>
              <w:rPr>
                <w:rFonts w:hint="eastAsia" w:ascii="宋体" w:hAnsi="宋体" w:eastAsiaTheme="minorEastAsia"/>
                <w:lang w:eastAsia="zh-CN"/>
              </w:rPr>
            </w:pPr>
            <w:r>
              <w:rPr>
                <w:rFonts w:hint="eastAsia" w:ascii="宋体" w:hAnsi="宋体"/>
                <w:lang w:val="en-US" w:eastAsia="zh-CN"/>
              </w:rPr>
              <w:t>4</w:t>
            </w:r>
          </w:p>
        </w:tc>
        <w:tc>
          <w:tcPr>
            <w:tcW w:w="560" w:type="pct"/>
            <w:tcBorders>
              <w:top w:val="single" w:color="000000" w:sz="4" w:space="0"/>
              <w:bottom w:val="single" w:color="000000" w:sz="4" w:space="0"/>
              <w:right w:val="single" w:color="000000" w:sz="4" w:space="0"/>
            </w:tcBorders>
            <w:vAlign w:val="center"/>
          </w:tcPr>
          <w:p>
            <w:pPr>
              <w:autoSpaceDN w:val="0"/>
              <w:spacing w:line="360" w:lineRule="auto"/>
              <w:jc w:val="center"/>
              <w:rPr>
                <w:rFonts w:ascii="宋体" w:hAnsi="宋体"/>
              </w:rPr>
            </w:pPr>
            <w:r>
              <w:rPr>
                <w:rFonts w:ascii="宋体" w:hAnsi="宋体"/>
              </w:rPr>
              <w:t>履约能力</w:t>
            </w:r>
          </w:p>
        </w:tc>
        <w:tc>
          <w:tcPr>
            <w:tcW w:w="353" w:type="pct"/>
            <w:tcBorders>
              <w:top w:val="single" w:color="000000" w:sz="4" w:space="0"/>
              <w:bottom w:val="single" w:color="000000" w:sz="4" w:space="0"/>
              <w:right w:val="single" w:color="000000" w:sz="4" w:space="0"/>
            </w:tcBorders>
            <w:vAlign w:val="center"/>
          </w:tcPr>
          <w:p>
            <w:pPr>
              <w:autoSpaceDN w:val="0"/>
              <w:spacing w:line="360" w:lineRule="auto"/>
              <w:jc w:val="center"/>
              <w:rPr>
                <w:rFonts w:ascii="宋体" w:hAnsi="宋体"/>
              </w:rPr>
            </w:pPr>
            <w:r>
              <w:rPr>
                <w:rFonts w:hint="eastAsia" w:ascii="宋体" w:hAnsi="宋体"/>
                <w:lang w:val="en-US" w:eastAsia="zh-CN"/>
              </w:rPr>
              <w:t>7</w:t>
            </w:r>
            <w:r>
              <w:rPr>
                <w:rFonts w:ascii="宋体" w:hAnsi="宋体"/>
              </w:rPr>
              <w:t>分</w:t>
            </w:r>
          </w:p>
        </w:tc>
        <w:tc>
          <w:tcPr>
            <w:tcW w:w="2685" w:type="pct"/>
            <w:tcBorders>
              <w:top w:val="single" w:color="000000" w:sz="4" w:space="0"/>
              <w:bottom w:val="single" w:color="000000" w:sz="4" w:space="0"/>
              <w:right w:val="single" w:color="000000" w:sz="4" w:space="0"/>
            </w:tcBorders>
          </w:tcPr>
          <w:p>
            <w:pPr>
              <w:autoSpaceDN/>
              <w:spacing w:line="300" w:lineRule="exact"/>
              <w:rPr>
                <w:rFonts w:hint="eastAsia" w:ascii="宋体" w:hAnsi="宋体" w:eastAsia="宋体" w:cs="宋体"/>
                <w:sz w:val="21"/>
                <w:szCs w:val="21"/>
                <w:lang w:eastAsia="zh-CN"/>
              </w:rPr>
            </w:pPr>
            <w:r>
              <w:rPr>
                <w:rFonts w:hint="eastAsia" w:ascii="宋体" w:hAnsi="宋体" w:eastAsia="宋体" w:cs="宋体"/>
                <w:sz w:val="21"/>
                <w:szCs w:val="21"/>
              </w:rPr>
              <w:t>供应商为本项目配置人员满足：项目负责人</w:t>
            </w:r>
            <w:r>
              <w:rPr>
                <w:rFonts w:hint="eastAsia" w:ascii="宋体" w:hAnsi="宋体" w:eastAsia="宋体" w:cs="宋体"/>
                <w:sz w:val="21"/>
                <w:szCs w:val="21"/>
                <w:lang w:val="en-US" w:eastAsia="zh-CN"/>
              </w:rPr>
              <w:t>≥</w:t>
            </w:r>
            <w:r>
              <w:rPr>
                <w:rFonts w:hint="eastAsia" w:ascii="宋体" w:hAnsi="宋体" w:eastAsia="宋体" w:cs="宋体"/>
                <w:sz w:val="21"/>
                <w:szCs w:val="21"/>
              </w:rPr>
              <w:t>1 人，总测评师</w:t>
            </w:r>
            <w:r>
              <w:rPr>
                <w:rFonts w:hint="eastAsia" w:ascii="宋体" w:hAnsi="宋体" w:eastAsia="宋体" w:cs="宋体"/>
                <w:sz w:val="21"/>
                <w:szCs w:val="21"/>
                <w:lang w:val="en-US" w:eastAsia="zh-CN"/>
              </w:rPr>
              <w:t>≥</w:t>
            </w:r>
            <w:r>
              <w:rPr>
                <w:rFonts w:hint="eastAsia" w:ascii="宋体" w:hAnsi="宋体" w:eastAsia="宋体" w:cs="宋体"/>
                <w:sz w:val="21"/>
                <w:szCs w:val="21"/>
              </w:rPr>
              <w:t>1人，测评师</w:t>
            </w:r>
            <w:r>
              <w:rPr>
                <w:rFonts w:hint="eastAsia" w:ascii="宋体" w:hAnsi="宋体" w:eastAsia="宋体" w:cs="宋体"/>
                <w:sz w:val="21"/>
                <w:szCs w:val="21"/>
                <w:lang w:val="en-US" w:eastAsia="zh-CN"/>
              </w:rPr>
              <w:t>≥1</w:t>
            </w:r>
            <w:r>
              <w:rPr>
                <w:rFonts w:hint="eastAsia" w:ascii="宋体" w:hAnsi="宋体" w:eastAsia="宋体" w:cs="宋体"/>
                <w:sz w:val="21"/>
                <w:szCs w:val="21"/>
              </w:rPr>
              <w:t>人</w:t>
            </w:r>
            <w:r>
              <w:rPr>
                <w:rFonts w:hint="eastAsia" w:ascii="宋体" w:hAnsi="宋体" w:eastAsia="宋体" w:cs="宋体"/>
                <w:sz w:val="21"/>
                <w:szCs w:val="21"/>
                <w:lang w:eastAsia="zh-CN"/>
              </w:rPr>
              <w:t>。</w:t>
            </w:r>
          </w:p>
          <w:p>
            <w:pPr>
              <w:autoSpaceDN/>
              <w:spacing w:line="300" w:lineRule="exact"/>
              <w:rPr>
                <w:rFonts w:hint="eastAsia" w:ascii="宋体" w:hAnsi="宋体" w:eastAsia="宋体" w:cs="宋体"/>
                <w:szCs w:val="21"/>
              </w:rPr>
            </w:pPr>
            <w:r>
              <w:rPr>
                <w:rFonts w:hint="eastAsia" w:ascii="宋体" w:hAnsi="宋体" w:eastAsia="宋体" w:cs="宋体"/>
                <w:szCs w:val="21"/>
              </w:rPr>
              <w:t>①现场项目负责人同时具有等级保护测评师</w:t>
            </w:r>
            <w:r>
              <w:rPr>
                <w:rFonts w:hint="eastAsia" w:ascii="宋体" w:hAnsi="宋体" w:eastAsia="宋体" w:cs="宋体"/>
                <w:szCs w:val="21"/>
                <w:lang w:val="en-US" w:eastAsia="zh-CN"/>
              </w:rPr>
              <w:t>高级</w:t>
            </w:r>
            <w:r>
              <w:rPr>
                <w:rFonts w:hint="eastAsia" w:ascii="宋体" w:hAnsi="宋体" w:eastAsia="宋体" w:cs="宋体"/>
                <w:szCs w:val="21"/>
              </w:rPr>
              <w:t>证书、</w:t>
            </w:r>
            <w:r>
              <w:rPr>
                <w:rFonts w:hint="eastAsia" w:ascii="宋体" w:hAnsi="宋体" w:eastAsia="宋体" w:cs="宋体"/>
                <w:sz w:val="21"/>
                <w:szCs w:val="21"/>
              </w:rPr>
              <w:t>信息安全保障人员（</w:t>
            </w:r>
            <w:r>
              <w:rPr>
                <w:rFonts w:hint="eastAsia" w:ascii="宋体" w:hAnsi="宋体" w:eastAsia="宋体" w:cs="宋体"/>
                <w:szCs w:val="21"/>
              </w:rPr>
              <w:t>CISAW）证书、注册信息安全专业人员证书（CISP），每提供一个得</w:t>
            </w:r>
            <w:r>
              <w:rPr>
                <w:rFonts w:hint="eastAsia" w:ascii="宋体" w:hAnsi="宋体" w:eastAsia="宋体" w:cs="宋体"/>
                <w:szCs w:val="21"/>
                <w:lang w:val="en-US" w:eastAsia="zh-CN"/>
              </w:rPr>
              <w:t>3</w:t>
            </w:r>
            <w:r>
              <w:rPr>
                <w:rFonts w:hint="eastAsia" w:ascii="宋体" w:hAnsi="宋体" w:eastAsia="宋体" w:cs="宋体"/>
                <w:szCs w:val="21"/>
              </w:rPr>
              <w:t>分，全部满足得</w:t>
            </w:r>
            <w:r>
              <w:rPr>
                <w:rFonts w:hint="eastAsia" w:ascii="宋体" w:hAnsi="宋体" w:eastAsia="宋体" w:cs="宋体"/>
                <w:szCs w:val="21"/>
                <w:lang w:val="en-US" w:eastAsia="zh-CN"/>
              </w:rPr>
              <w:t>3</w:t>
            </w:r>
            <w:r>
              <w:rPr>
                <w:rFonts w:hint="eastAsia" w:ascii="宋体" w:hAnsi="宋体" w:eastAsia="宋体" w:cs="宋体"/>
                <w:szCs w:val="21"/>
              </w:rPr>
              <w:t>分；(提供证书复印件并加盖供应商公章)</w:t>
            </w:r>
          </w:p>
          <w:p>
            <w:pPr>
              <w:autoSpaceDN/>
              <w:spacing w:line="300" w:lineRule="exact"/>
              <w:rPr>
                <w:rFonts w:hint="eastAsia" w:ascii="宋体" w:hAnsi="宋体" w:eastAsia="宋体" w:cs="宋体"/>
                <w:szCs w:val="21"/>
              </w:rPr>
            </w:pPr>
            <w:r>
              <w:rPr>
                <w:rFonts w:hint="eastAsia" w:ascii="宋体" w:hAnsi="宋体" w:eastAsia="宋体" w:cs="宋体"/>
                <w:szCs w:val="21"/>
                <w:lang w:val="en-US" w:eastAsia="zh-CN"/>
              </w:rPr>
              <w:t>②</w:t>
            </w:r>
            <w:r>
              <w:rPr>
                <w:rFonts w:hint="eastAsia" w:ascii="宋体" w:hAnsi="宋体" w:eastAsia="宋体" w:cs="宋体"/>
                <w:szCs w:val="21"/>
              </w:rPr>
              <w:t>派驻本项目</w:t>
            </w:r>
            <w:r>
              <w:rPr>
                <w:rFonts w:hint="eastAsia" w:ascii="宋体" w:hAnsi="宋体" w:eastAsia="宋体" w:cs="宋体"/>
                <w:szCs w:val="21"/>
                <w:lang w:val="en-US" w:eastAsia="zh-CN"/>
              </w:rPr>
              <w:t>总测评师</w:t>
            </w:r>
            <w:r>
              <w:rPr>
                <w:rFonts w:hint="eastAsia" w:ascii="宋体" w:hAnsi="宋体" w:eastAsia="宋体" w:cs="宋体"/>
                <w:szCs w:val="21"/>
              </w:rPr>
              <w:t>同时具有信息安全等级测评师中级或以上证书、注册信息安全专业人员证书（CISP）证书</w:t>
            </w:r>
            <w:r>
              <w:rPr>
                <w:rFonts w:hint="eastAsia" w:ascii="宋体" w:hAnsi="宋体" w:eastAsia="宋体" w:cs="宋体"/>
                <w:szCs w:val="21"/>
                <w:lang w:eastAsia="zh-CN"/>
              </w:rPr>
              <w:t>，</w:t>
            </w:r>
            <w:r>
              <w:rPr>
                <w:rFonts w:hint="eastAsia" w:ascii="宋体" w:hAnsi="宋体" w:eastAsia="宋体" w:cs="宋体"/>
                <w:szCs w:val="21"/>
              </w:rPr>
              <w:t>每提供1</w:t>
            </w:r>
            <w:r>
              <w:rPr>
                <w:rFonts w:hint="eastAsia" w:ascii="宋体" w:hAnsi="宋体" w:eastAsia="宋体" w:cs="宋体"/>
                <w:szCs w:val="21"/>
                <w:lang w:val="en-US" w:eastAsia="zh-CN"/>
              </w:rPr>
              <w:t>个</w:t>
            </w:r>
            <w:r>
              <w:rPr>
                <w:rFonts w:hint="eastAsia" w:ascii="宋体" w:hAnsi="宋体" w:eastAsia="宋体" w:cs="宋体"/>
                <w:szCs w:val="21"/>
              </w:rPr>
              <w:t>得1分，最多得2分。(提供证书复印件并加盖供应商公章)</w:t>
            </w:r>
          </w:p>
          <w:p>
            <w:pPr>
              <w:autoSpaceDN/>
              <w:spacing w:line="300" w:lineRule="exact"/>
              <w:rPr>
                <w:rFonts w:hint="eastAsia" w:ascii="宋体" w:hAnsi="宋体" w:eastAsia="宋体" w:cs="宋体"/>
                <w:szCs w:val="21"/>
              </w:rPr>
            </w:pPr>
            <w:r>
              <w:rPr>
                <w:rFonts w:hint="eastAsia" w:ascii="宋体" w:hAnsi="宋体" w:eastAsia="宋体" w:cs="宋体"/>
                <w:szCs w:val="21"/>
                <w:lang w:val="en-US" w:eastAsia="zh-CN"/>
              </w:rPr>
              <w:t>③</w:t>
            </w:r>
            <w:r>
              <w:rPr>
                <w:rFonts w:hint="eastAsia" w:ascii="宋体" w:hAnsi="宋体" w:eastAsia="宋体" w:cs="宋体"/>
                <w:szCs w:val="21"/>
              </w:rPr>
              <w:t>派驻本项目</w:t>
            </w:r>
            <w:r>
              <w:rPr>
                <w:rFonts w:hint="eastAsia" w:ascii="宋体" w:hAnsi="宋体" w:eastAsia="宋体" w:cs="宋体"/>
                <w:szCs w:val="21"/>
                <w:lang w:val="en-US" w:eastAsia="zh-CN"/>
              </w:rPr>
              <w:t>测评师</w:t>
            </w:r>
            <w:r>
              <w:rPr>
                <w:rFonts w:hint="eastAsia" w:ascii="宋体" w:hAnsi="宋体" w:eastAsia="宋体" w:cs="宋体"/>
                <w:szCs w:val="21"/>
              </w:rPr>
              <w:t>同时具有信息安全等级测评师初级或以上证书、信息安全保障人员（CISAW）证书</w:t>
            </w:r>
            <w:r>
              <w:rPr>
                <w:rFonts w:hint="eastAsia" w:ascii="宋体" w:hAnsi="宋体" w:eastAsia="宋体" w:cs="宋体"/>
                <w:szCs w:val="21"/>
                <w:lang w:eastAsia="zh-CN"/>
              </w:rPr>
              <w:t>，</w:t>
            </w:r>
            <w:r>
              <w:rPr>
                <w:rFonts w:hint="eastAsia" w:ascii="宋体" w:hAnsi="宋体" w:eastAsia="宋体" w:cs="宋体"/>
                <w:szCs w:val="21"/>
              </w:rPr>
              <w:t>每提供1</w:t>
            </w:r>
            <w:r>
              <w:rPr>
                <w:rFonts w:hint="eastAsia" w:ascii="宋体" w:hAnsi="宋体" w:eastAsia="宋体" w:cs="宋体"/>
                <w:szCs w:val="21"/>
                <w:lang w:val="en-US" w:eastAsia="zh-CN"/>
              </w:rPr>
              <w:t>个</w:t>
            </w:r>
            <w:r>
              <w:rPr>
                <w:rFonts w:hint="eastAsia" w:ascii="宋体" w:hAnsi="宋体" w:eastAsia="宋体" w:cs="宋体"/>
                <w:szCs w:val="21"/>
              </w:rPr>
              <w:t>得1分，最多得</w:t>
            </w:r>
            <w:r>
              <w:rPr>
                <w:rFonts w:hint="eastAsia" w:ascii="宋体" w:hAnsi="宋体" w:eastAsia="宋体" w:cs="宋体"/>
                <w:szCs w:val="21"/>
                <w:lang w:val="en-US" w:eastAsia="zh-CN"/>
              </w:rPr>
              <w:t>2</w:t>
            </w:r>
            <w:r>
              <w:rPr>
                <w:rFonts w:hint="eastAsia" w:ascii="宋体" w:hAnsi="宋体" w:eastAsia="宋体" w:cs="宋体"/>
                <w:szCs w:val="21"/>
              </w:rPr>
              <w:t>分，任缺一项证书不得分。(提供证书复印件并加盖供应商公章)</w:t>
            </w:r>
          </w:p>
        </w:tc>
        <w:tc>
          <w:tcPr>
            <w:tcW w:w="1068" w:type="pct"/>
            <w:tcBorders>
              <w:top w:val="single" w:color="000000" w:sz="4" w:space="0"/>
              <w:bottom w:val="single" w:color="000000" w:sz="4" w:space="0"/>
              <w:right w:val="single" w:color="000000" w:sz="4" w:space="0"/>
            </w:tcBorders>
          </w:tcPr>
          <w:p>
            <w:pPr>
              <w:pStyle w:val="3"/>
              <w:spacing w:line="300" w:lineRule="exact"/>
            </w:pPr>
            <w:r>
              <w:rPr>
                <w:rFonts w:ascii="宋体"/>
              </w:rPr>
              <w:t>（</w:t>
            </w:r>
            <w:r>
              <w:rPr>
                <w:rFonts w:hint="eastAsia" w:ascii="宋体" w:hAnsi="宋体" w:cs="宋体"/>
              </w:rPr>
              <w:t>技术类</w:t>
            </w:r>
            <w:r>
              <w:rPr>
                <w:rFonts w:ascii="宋体"/>
              </w:rPr>
              <w:t>评分因素）</w:t>
            </w:r>
          </w:p>
        </w:tc>
      </w:tr>
      <w:tr>
        <w:tblPrEx>
          <w:tblCellMar>
            <w:top w:w="0" w:type="dxa"/>
            <w:left w:w="108" w:type="dxa"/>
            <w:bottom w:w="0" w:type="dxa"/>
            <w:right w:w="108" w:type="dxa"/>
          </w:tblCellMar>
        </w:tblPrEx>
        <w:trPr>
          <w:trHeight w:val="350" w:hRule="atLeast"/>
          <w:jc w:val="center"/>
        </w:trPr>
        <w:tc>
          <w:tcPr>
            <w:tcW w:w="332"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ind w:firstLine="235"/>
              <w:jc w:val="center"/>
              <w:rPr>
                <w:rFonts w:hint="eastAsia" w:ascii="宋体" w:hAnsi="宋体" w:eastAsiaTheme="minorEastAsia"/>
                <w:lang w:eastAsia="zh-CN"/>
              </w:rPr>
            </w:pPr>
            <w:r>
              <w:rPr>
                <w:rFonts w:hint="eastAsia" w:ascii="宋体" w:hAnsi="宋体"/>
                <w:lang w:val="en-US" w:eastAsia="zh-CN"/>
              </w:rPr>
              <w:t>5</w:t>
            </w:r>
          </w:p>
        </w:tc>
        <w:tc>
          <w:tcPr>
            <w:tcW w:w="560" w:type="pct"/>
            <w:tcBorders>
              <w:top w:val="single" w:color="000000" w:sz="4" w:space="0"/>
              <w:bottom w:val="single" w:color="000000" w:sz="4" w:space="0"/>
              <w:right w:val="single" w:color="000000" w:sz="4" w:space="0"/>
            </w:tcBorders>
            <w:vAlign w:val="center"/>
          </w:tcPr>
          <w:p>
            <w:pPr>
              <w:autoSpaceDN w:val="0"/>
              <w:spacing w:line="360" w:lineRule="auto"/>
              <w:jc w:val="center"/>
              <w:rPr>
                <w:rFonts w:hint="default" w:ascii="宋体" w:hAnsi="宋体" w:eastAsiaTheme="minorEastAsia"/>
                <w:lang w:val="en-US" w:eastAsia="zh-CN"/>
              </w:rPr>
            </w:pPr>
            <w:r>
              <w:rPr>
                <w:rFonts w:hint="eastAsia" w:ascii="宋体" w:hAnsi="宋体"/>
                <w:lang w:val="en-US" w:eastAsia="zh-CN"/>
              </w:rPr>
              <w:t>项目实施方案</w:t>
            </w:r>
          </w:p>
        </w:tc>
        <w:tc>
          <w:tcPr>
            <w:tcW w:w="353" w:type="pct"/>
            <w:tcBorders>
              <w:top w:val="single" w:color="000000" w:sz="4" w:space="0"/>
              <w:bottom w:val="single" w:color="000000" w:sz="4" w:space="0"/>
              <w:right w:val="single" w:color="000000" w:sz="4" w:space="0"/>
            </w:tcBorders>
            <w:vAlign w:val="center"/>
          </w:tcPr>
          <w:p>
            <w:pPr>
              <w:autoSpaceDN w:val="0"/>
              <w:spacing w:line="360" w:lineRule="auto"/>
              <w:jc w:val="center"/>
              <w:rPr>
                <w:rFonts w:ascii="宋体" w:hAnsi="宋体"/>
              </w:rPr>
            </w:pPr>
            <w:r>
              <w:rPr>
                <w:rFonts w:hint="eastAsia" w:ascii="宋体" w:hAnsi="宋体"/>
                <w:lang w:val="en-US" w:eastAsia="zh-CN"/>
              </w:rPr>
              <w:t>16</w:t>
            </w:r>
            <w:r>
              <w:rPr>
                <w:rFonts w:ascii="宋体" w:hAnsi="宋体"/>
              </w:rPr>
              <w:t>分</w:t>
            </w:r>
          </w:p>
        </w:tc>
        <w:tc>
          <w:tcPr>
            <w:tcW w:w="2685" w:type="pct"/>
            <w:tcBorders>
              <w:top w:val="single" w:color="000000" w:sz="4" w:space="0"/>
              <w:bottom w:val="single" w:color="000000" w:sz="4" w:space="0"/>
              <w:right w:val="single" w:color="000000" w:sz="4" w:space="0"/>
            </w:tcBorders>
          </w:tcPr>
          <w:p>
            <w:pPr>
              <w:autoSpaceDN/>
              <w:spacing w:line="300" w:lineRule="exact"/>
              <w:jc w:val="left"/>
              <w:rPr>
                <w:rFonts w:hint="eastAsia" w:ascii="宋体" w:hAnsi="宋体" w:eastAsia="宋体" w:cs="宋体"/>
                <w:szCs w:val="21"/>
              </w:rPr>
            </w:pPr>
            <w:r>
              <w:rPr>
                <w:rFonts w:hint="eastAsia" w:ascii="宋体" w:hAnsi="宋体" w:eastAsia="宋体" w:cs="宋体"/>
                <w:sz w:val="21"/>
                <w:szCs w:val="21"/>
              </w:rPr>
              <w:t>根据</w:t>
            </w:r>
            <w:r>
              <w:rPr>
                <w:rFonts w:hint="eastAsia" w:ascii="宋体" w:hAnsi="宋体" w:eastAsia="宋体" w:cs="宋体"/>
                <w:sz w:val="21"/>
                <w:szCs w:val="21"/>
                <w:lang w:eastAsia="zh-CN"/>
              </w:rPr>
              <w:t>投标人</w:t>
            </w:r>
            <w:r>
              <w:rPr>
                <w:rFonts w:hint="eastAsia" w:ascii="宋体" w:hAnsi="宋体" w:eastAsia="宋体" w:cs="宋体"/>
                <w:sz w:val="21"/>
                <w:szCs w:val="21"/>
              </w:rPr>
              <w:t>提供的项目实施方案进行评审，该方案应包含：①项</w:t>
            </w:r>
            <w:r>
              <w:rPr>
                <w:rFonts w:hint="eastAsia" w:ascii="宋体" w:hAnsi="宋体" w:eastAsia="宋体" w:cs="宋体"/>
                <w:sz w:val="21"/>
                <w:szCs w:val="21"/>
                <w:lang w:val="en-US" w:eastAsia="zh-CN"/>
              </w:rPr>
              <w:t>确定测评范围</w:t>
            </w:r>
            <w:r>
              <w:rPr>
                <w:rFonts w:hint="eastAsia" w:ascii="宋体" w:hAnsi="宋体" w:eastAsia="宋体" w:cs="宋体"/>
                <w:sz w:val="21"/>
                <w:szCs w:val="21"/>
              </w:rPr>
              <w:t>、②获得信息系统的信息、③确定具体的测评对象、定测评工作的方法、⑤制定测评工作计划、⑥实施等级保护测评 、⑦项目总结、⑧进度保障方案。完整提供上述</w:t>
            </w:r>
            <w:r>
              <w:rPr>
                <w:rFonts w:hint="eastAsia" w:ascii="宋体" w:hAnsi="宋体" w:eastAsia="宋体" w:cs="宋体"/>
                <w:sz w:val="21"/>
                <w:szCs w:val="21"/>
                <w:lang w:eastAsia="zh-CN"/>
              </w:rPr>
              <w:t>8</w:t>
            </w:r>
            <w:r>
              <w:rPr>
                <w:rFonts w:hint="eastAsia" w:ascii="宋体" w:hAnsi="宋体" w:eastAsia="宋体" w:cs="宋体"/>
                <w:sz w:val="21"/>
                <w:szCs w:val="21"/>
              </w:rPr>
              <w:t>项内容的得</w:t>
            </w:r>
            <w:r>
              <w:rPr>
                <w:rFonts w:hint="eastAsia" w:ascii="宋体" w:hAnsi="宋体" w:eastAsia="宋体" w:cs="宋体"/>
                <w:sz w:val="21"/>
                <w:szCs w:val="21"/>
                <w:lang w:eastAsia="zh-CN"/>
              </w:rPr>
              <w:t>1</w:t>
            </w:r>
            <w:r>
              <w:rPr>
                <w:rFonts w:hint="eastAsia" w:ascii="宋体" w:hAnsi="宋体" w:eastAsia="宋体" w:cs="宋体"/>
                <w:sz w:val="21"/>
                <w:szCs w:val="21"/>
                <w:lang w:val="en-US" w:eastAsia="zh-CN"/>
              </w:rPr>
              <w:t>6</w:t>
            </w:r>
            <w:r>
              <w:rPr>
                <w:rFonts w:hint="eastAsia" w:ascii="宋体" w:hAnsi="宋体" w:eastAsia="宋体" w:cs="宋体"/>
                <w:sz w:val="21"/>
                <w:szCs w:val="21"/>
              </w:rPr>
              <w:t>分；每有一项未提供扣</w:t>
            </w:r>
            <w:r>
              <w:rPr>
                <w:rFonts w:hint="eastAsia" w:ascii="宋体" w:hAnsi="宋体" w:eastAsia="宋体" w:cs="宋体"/>
                <w:sz w:val="21"/>
                <w:szCs w:val="21"/>
                <w:lang w:eastAsia="zh-CN"/>
              </w:rPr>
              <w:t>2</w:t>
            </w:r>
            <w:r>
              <w:rPr>
                <w:rFonts w:hint="eastAsia" w:ascii="宋体" w:hAnsi="宋体" w:eastAsia="宋体" w:cs="宋体"/>
                <w:sz w:val="21"/>
                <w:szCs w:val="21"/>
              </w:rPr>
              <w:t>分，扣完为止；每有一处有缺陷扣</w:t>
            </w:r>
            <w:r>
              <w:rPr>
                <w:rFonts w:hint="eastAsia" w:ascii="宋体" w:hAnsi="宋体" w:eastAsia="宋体" w:cs="宋体"/>
                <w:sz w:val="21"/>
                <w:szCs w:val="21"/>
                <w:lang w:eastAsia="zh-CN"/>
              </w:rPr>
              <w:t>1</w:t>
            </w:r>
            <w:r>
              <w:rPr>
                <w:rFonts w:hint="eastAsia" w:ascii="宋体" w:hAnsi="宋体" w:eastAsia="宋体" w:cs="宋体"/>
                <w:sz w:val="21"/>
                <w:szCs w:val="21"/>
              </w:rPr>
              <w:t>分，扣完为止。（缺陷是指：存在不适用项目实际情况的情形、凭空编造、套用其他项目方案、内容前后不一致、前后逻辑错误、涉及的规范及标准错误、地点区域错误、内容缺失、不符合采购需求、不可能实现的情形等任意一种情形）</w:t>
            </w:r>
          </w:p>
        </w:tc>
        <w:tc>
          <w:tcPr>
            <w:tcW w:w="1068" w:type="pct"/>
            <w:tcBorders>
              <w:top w:val="single" w:color="000000" w:sz="4" w:space="0"/>
              <w:bottom w:val="single" w:color="000000" w:sz="4" w:space="0"/>
              <w:right w:val="single" w:color="000000" w:sz="4" w:space="0"/>
            </w:tcBorders>
          </w:tcPr>
          <w:p>
            <w:pPr>
              <w:autoSpaceDN w:val="0"/>
              <w:spacing w:line="300" w:lineRule="exact"/>
              <w:rPr>
                <w:rFonts w:ascii="宋体" w:hAnsi="宋体"/>
              </w:rPr>
            </w:pPr>
            <w:r>
              <w:rPr>
                <w:rFonts w:ascii="宋体" w:hAnsi="宋体"/>
              </w:rPr>
              <w:t>（共同评分因素）</w:t>
            </w:r>
          </w:p>
        </w:tc>
      </w:tr>
      <w:tr>
        <w:tblPrEx>
          <w:tblCellMar>
            <w:top w:w="0" w:type="dxa"/>
            <w:left w:w="108" w:type="dxa"/>
            <w:bottom w:w="0" w:type="dxa"/>
            <w:right w:w="108" w:type="dxa"/>
          </w:tblCellMar>
        </w:tblPrEx>
        <w:trPr>
          <w:trHeight w:val="350" w:hRule="atLeast"/>
          <w:jc w:val="center"/>
        </w:trPr>
        <w:tc>
          <w:tcPr>
            <w:tcW w:w="332"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auto"/>
              <w:ind w:firstLine="235"/>
              <w:jc w:val="center"/>
              <w:rPr>
                <w:rFonts w:hint="eastAsia" w:ascii="宋体" w:hAnsi="宋体" w:eastAsiaTheme="minorEastAsia"/>
                <w:lang w:val="en-US" w:eastAsia="zh-CN"/>
              </w:rPr>
            </w:pPr>
            <w:r>
              <w:rPr>
                <w:rFonts w:hint="eastAsia" w:ascii="宋体" w:hAnsi="宋体"/>
                <w:lang w:val="en-US" w:eastAsia="zh-CN"/>
              </w:rPr>
              <w:t>6</w:t>
            </w:r>
          </w:p>
        </w:tc>
        <w:tc>
          <w:tcPr>
            <w:tcW w:w="560" w:type="pct"/>
            <w:tcBorders>
              <w:top w:val="single" w:color="000000" w:sz="4" w:space="0"/>
              <w:bottom w:val="single" w:color="000000" w:sz="4" w:space="0"/>
              <w:right w:val="single" w:color="000000" w:sz="4" w:space="0"/>
            </w:tcBorders>
            <w:vAlign w:val="center"/>
          </w:tcPr>
          <w:p>
            <w:pPr>
              <w:autoSpaceDN w:val="0"/>
              <w:spacing w:line="360" w:lineRule="auto"/>
              <w:jc w:val="center"/>
              <w:rPr>
                <w:rFonts w:hint="default" w:ascii="宋体" w:hAnsi="宋体"/>
                <w:lang w:val="en-US" w:eastAsia="zh-CN"/>
              </w:rPr>
            </w:pPr>
            <w:r>
              <w:rPr>
                <w:rFonts w:hint="eastAsia" w:ascii="宋体" w:hAnsi="宋体"/>
                <w:lang w:val="en-US" w:eastAsia="zh-CN"/>
              </w:rPr>
              <w:t>售后服务方案</w:t>
            </w:r>
          </w:p>
        </w:tc>
        <w:tc>
          <w:tcPr>
            <w:tcW w:w="353" w:type="pct"/>
            <w:tcBorders>
              <w:top w:val="single" w:color="000000" w:sz="4" w:space="0"/>
              <w:bottom w:val="single" w:color="000000" w:sz="4" w:space="0"/>
              <w:right w:val="single" w:color="000000" w:sz="4" w:space="0"/>
            </w:tcBorders>
            <w:vAlign w:val="center"/>
          </w:tcPr>
          <w:p>
            <w:pPr>
              <w:autoSpaceDN w:val="0"/>
              <w:spacing w:line="360" w:lineRule="auto"/>
              <w:jc w:val="center"/>
              <w:rPr>
                <w:rFonts w:hint="default" w:ascii="宋体" w:hAnsi="宋体" w:eastAsiaTheme="minorEastAsia"/>
                <w:lang w:val="en-US" w:eastAsia="zh-CN"/>
              </w:rPr>
            </w:pPr>
            <w:r>
              <w:rPr>
                <w:rFonts w:hint="eastAsia" w:ascii="宋体" w:hAnsi="宋体"/>
                <w:lang w:val="en-US" w:eastAsia="zh-CN"/>
              </w:rPr>
              <w:t>6分</w:t>
            </w:r>
          </w:p>
        </w:tc>
        <w:tc>
          <w:tcPr>
            <w:tcW w:w="2685" w:type="pct"/>
            <w:tcBorders>
              <w:top w:val="single" w:color="000000" w:sz="4" w:space="0"/>
              <w:bottom w:val="single" w:color="000000" w:sz="4" w:space="0"/>
              <w:right w:val="single" w:color="000000" w:sz="4" w:space="0"/>
            </w:tcBorders>
          </w:tcPr>
          <w:p>
            <w:pPr>
              <w:widowControl/>
              <w:autoSpaceDN/>
              <w:spacing w:line="300" w:lineRule="exact"/>
              <w:jc w:val="left"/>
              <w:rPr>
                <w:rFonts w:hint="eastAsia" w:ascii="宋体" w:hAnsi="宋体" w:eastAsia="宋体" w:cs="宋体"/>
                <w:szCs w:val="21"/>
                <w:lang w:val="en-US" w:eastAsia="zh-CN"/>
              </w:rPr>
            </w:pPr>
            <w:r>
              <w:rPr>
                <w:rFonts w:hint="eastAsia" w:ascii="宋体" w:hAnsi="宋体" w:eastAsia="宋体" w:cs="宋体"/>
                <w:sz w:val="21"/>
                <w:szCs w:val="21"/>
              </w:rPr>
              <w:t>根据</w:t>
            </w:r>
            <w:r>
              <w:rPr>
                <w:rFonts w:hint="eastAsia" w:ascii="宋体" w:hAnsi="宋体" w:eastAsia="宋体" w:cs="宋体"/>
                <w:sz w:val="21"/>
                <w:szCs w:val="21"/>
                <w:lang w:eastAsia="zh-CN"/>
              </w:rPr>
              <w:t>投标人</w:t>
            </w:r>
            <w:r>
              <w:rPr>
                <w:rFonts w:hint="eastAsia" w:ascii="宋体" w:hAnsi="宋体" w:eastAsia="宋体" w:cs="宋体"/>
                <w:sz w:val="21"/>
                <w:szCs w:val="21"/>
              </w:rPr>
              <w:t>提供的售后服务方案进行评审，该方案应包含：①</w:t>
            </w:r>
            <w:r>
              <w:rPr>
                <w:rFonts w:hint="eastAsia" w:ascii="宋体" w:hAnsi="宋体" w:eastAsia="宋体" w:cs="宋体"/>
                <w:szCs w:val="21"/>
              </w:rPr>
              <w:t>售后技术</w:t>
            </w:r>
            <w:r>
              <w:rPr>
                <w:rFonts w:hint="eastAsia" w:ascii="宋体" w:hAnsi="宋体" w:eastAsia="宋体" w:cs="宋体"/>
                <w:szCs w:val="21"/>
                <w:lang w:val="en-US" w:eastAsia="zh-CN"/>
              </w:rPr>
              <w:t>负责人员及</w:t>
            </w:r>
            <w:r>
              <w:rPr>
                <w:rFonts w:hint="eastAsia" w:ascii="宋体" w:hAnsi="宋体" w:eastAsia="宋体" w:cs="宋体"/>
                <w:sz w:val="21"/>
                <w:szCs w:val="21"/>
              </w:rPr>
              <w:t>售后服务措施</w:t>
            </w:r>
            <w:r>
              <w:rPr>
                <w:rFonts w:hint="eastAsia" w:ascii="宋体" w:hAnsi="宋体" w:eastAsia="宋体" w:cs="宋体"/>
                <w:szCs w:val="21"/>
              </w:rPr>
              <w:t>、</w:t>
            </w:r>
            <w:r>
              <w:rPr>
                <w:rFonts w:hint="eastAsia" w:ascii="宋体" w:hAnsi="宋体" w:eastAsia="宋体" w:cs="宋体"/>
                <w:sz w:val="21"/>
                <w:szCs w:val="21"/>
              </w:rPr>
              <w:t>②售后承诺及售后响应保障</w:t>
            </w:r>
            <w:r>
              <w:rPr>
                <w:rFonts w:hint="eastAsia" w:ascii="宋体" w:hAnsi="宋体" w:eastAsia="宋体" w:cs="宋体"/>
                <w:szCs w:val="21"/>
              </w:rPr>
              <w:t>、</w:t>
            </w:r>
            <w:r>
              <w:rPr>
                <w:rFonts w:hint="eastAsia" w:ascii="宋体" w:hAnsi="宋体" w:eastAsia="宋体" w:cs="宋体"/>
                <w:sz w:val="21"/>
                <w:szCs w:val="21"/>
              </w:rPr>
              <w:t>③</w:t>
            </w:r>
            <w:r>
              <w:rPr>
                <w:rFonts w:hint="eastAsia" w:ascii="宋体" w:hAnsi="宋体" w:eastAsia="宋体" w:cs="宋体"/>
                <w:szCs w:val="21"/>
              </w:rPr>
              <w:t>售后技术能力的可行性和真实性</w:t>
            </w:r>
            <w:r>
              <w:rPr>
                <w:rFonts w:hint="eastAsia" w:ascii="宋体" w:hAnsi="宋体" w:eastAsia="宋体" w:cs="宋体"/>
                <w:szCs w:val="21"/>
                <w:lang w:eastAsia="zh-CN"/>
              </w:rPr>
              <w:t>。</w:t>
            </w:r>
            <w:r>
              <w:rPr>
                <w:rFonts w:hint="eastAsia" w:ascii="宋体" w:hAnsi="宋体" w:eastAsia="宋体" w:cs="宋体"/>
                <w:sz w:val="21"/>
                <w:szCs w:val="21"/>
              </w:rPr>
              <w:t>完整提供上述</w:t>
            </w:r>
            <w:r>
              <w:rPr>
                <w:rFonts w:hint="eastAsia" w:ascii="宋体" w:hAnsi="宋体" w:eastAsia="宋体" w:cs="宋体"/>
                <w:sz w:val="21"/>
                <w:szCs w:val="21"/>
                <w:lang w:val="en-US" w:eastAsia="zh-CN"/>
              </w:rPr>
              <w:t>3</w:t>
            </w:r>
            <w:r>
              <w:rPr>
                <w:rFonts w:hint="eastAsia" w:ascii="宋体" w:hAnsi="宋体" w:eastAsia="宋体" w:cs="宋体"/>
                <w:sz w:val="21"/>
                <w:szCs w:val="21"/>
              </w:rPr>
              <w:t>项内容的得6分；每有一项未提供扣</w:t>
            </w:r>
            <w:r>
              <w:rPr>
                <w:rFonts w:hint="eastAsia" w:ascii="宋体" w:hAnsi="宋体" w:eastAsia="宋体" w:cs="宋体"/>
                <w:sz w:val="21"/>
                <w:szCs w:val="21"/>
                <w:lang w:val="en-US" w:eastAsia="zh-CN"/>
              </w:rPr>
              <w:t>2</w:t>
            </w:r>
            <w:r>
              <w:rPr>
                <w:rFonts w:hint="eastAsia" w:ascii="宋体" w:hAnsi="宋体" w:eastAsia="宋体" w:cs="宋体"/>
                <w:sz w:val="21"/>
                <w:szCs w:val="21"/>
              </w:rPr>
              <w:t>分，扣完为止；每有一处有缺陷扣</w:t>
            </w:r>
            <w:r>
              <w:rPr>
                <w:rFonts w:hint="eastAsia" w:ascii="宋体" w:hAnsi="宋体" w:eastAsia="宋体" w:cs="宋体"/>
                <w:sz w:val="21"/>
                <w:szCs w:val="21"/>
                <w:lang w:eastAsia="zh-CN"/>
              </w:rPr>
              <w:t>1</w:t>
            </w:r>
            <w:r>
              <w:rPr>
                <w:rFonts w:hint="eastAsia" w:ascii="宋体" w:hAnsi="宋体" w:eastAsia="宋体" w:cs="宋体"/>
                <w:sz w:val="21"/>
                <w:szCs w:val="21"/>
              </w:rPr>
              <w:t>分，扣完为止。</w:t>
            </w:r>
          </w:p>
        </w:tc>
        <w:tc>
          <w:tcPr>
            <w:tcW w:w="1068" w:type="pct"/>
            <w:tcBorders>
              <w:top w:val="single" w:color="000000" w:sz="4" w:space="0"/>
              <w:bottom w:val="single" w:color="000000" w:sz="4" w:space="0"/>
              <w:right w:val="single" w:color="000000" w:sz="4" w:space="0"/>
            </w:tcBorders>
          </w:tcPr>
          <w:p>
            <w:pPr>
              <w:autoSpaceDN w:val="0"/>
              <w:spacing w:line="300" w:lineRule="exact"/>
              <w:rPr>
                <w:rFonts w:ascii="宋体" w:hAnsi="宋体"/>
              </w:rPr>
            </w:pPr>
          </w:p>
        </w:tc>
      </w:tr>
    </w:tbl>
    <w:p>
      <w:pPr>
        <w:pStyle w:val="3"/>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61B1AB8"/>
    <w:rsid w:val="07CF5DE6"/>
    <w:rsid w:val="099019C9"/>
    <w:rsid w:val="0BEF4460"/>
    <w:rsid w:val="0DB40D5F"/>
    <w:rsid w:val="0DC61272"/>
    <w:rsid w:val="160E6673"/>
    <w:rsid w:val="176A5B2B"/>
    <w:rsid w:val="17EE2139"/>
    <w:rsid w:val="1C3B161D"/>
    <w:rsid w:val="1C985A0D"/>
    <w:rsid w:val="1F2931B0"/>
    <w:rsid w:val="1FAA15A2"/>
    <w:rsid w:val="21DE7774"/>
    <w:rsid w:val="231A6657"/>
    <w:rsid w:val="23CE6958"/>
    <w:rsid w:val="2734580E"/>
    <w:rsid w:val="29B90F52"/>
    <w:rsid w:val="2B796EBE"/>
    <w:rsid w:val="2D54610A"/>
    <w:rsid w:val="2DB72565"/>
    <w:rsid w:val="30014A99"/>
    <w:rsid w:val="300817D1"/>
    <w:rsid w:val="316F5DC0"/>
    <w:rsid w:val="332B5D3D"/>
    <w:rsid w:val="38520016"/>
    <w:rsid w:val="39747600"/>
    <w:rsid w:val="3A2550DD"/>
    <w:rsid w:val="3A2F783B"/>
    <w:rsid w:val="3A745C5C"/>
    <w:rsid w:val="3B116B04"/>
    <w:rsid w:val="3CC66AB0"/>
    <w:rsid w:val="3D4F4F00"/>
    <w:rsid w:val="3D5529A7"/>
    <w:rsid w:val="3DBC3894"/>
    <w:rsid w:val="3E960D7F"/>
    <w:rsid w:val="3FAF737C"/>
    <w:rsid w:val="420266F3"/>
    <w:rsid w:val="424F5000"/>
    <w:rsid w:val="4288362A"/>
    <w:rsid w:val="444A5147"/>
    <w:rsid w:val="454B07EC"/>
    <w:rsid w:val="45D73970"/>
    <w:rsid w:val="4962387D"/>
    <w:rsid w:val="49751503"/>
    <w:rsid w:val="49E30BA8"/>
    <w:rsid w:val="4AAC43F0"/>
    <w:rsid w:val="4BA8188C"/>
    <w:rsid w:val="4BBE6CC9"/>
    <w:rsid w:val="5074152A"/>
    <w:rsid w:val="568A6CE1"/>
    <w:rsid w:val="574216FD"/>
    <w:rsid w:val="57CC719B"/>
    <w:rsid w:val="5919648E"/>
    <w:rsid w:val="59FF2CE9"/>
    <w:rsid w:val="5A00477A"/>
    <w:rsid w:val="5BDD00ED"/>
    <w:rsid w:val="5C0827EA"/>
    <w:rsid w:val="5CD77044"/>
    <w:rsid w:val="5D675648"/>
    <w:rsid w:val="5E9952E6"/>
    <w:rsid w:val="619F058F"/>
    <w:rsid w:val="627D77E8"/>
    <w:rsid w:val="6333473F"/>
    <w:rsid w:val="643B2E62"/>
    <w:rsid w:val="6A7A7481"/>
    <w:rsid w:val="6BDF3567"/>
    <w:rsid w:val="730F4A91"/>
    <w:rsid w:val="73F41F8C"/>
    <w:rsid w:val="74324BCE"/>
    <w:rsid w:val="753C7334"/>
    <w:rsid w:val="768947FB"/>
    <w:rsid w:val="77D00208"/>
    <w:rsid w:val="79C142AC"/>
    <w:rsid w:val="7B187EFC"/>
    <w:rsid w:val="7CC50351"/>
    <w:rsid w:val="7CD622C1"/>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3"/>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ody Text"/>
    <w:basedOn w:val="1"/>
    <w:next w:val="1"/>
    <w:semiHidden/>
    <w:unhideWhenUsed/>
    <w:qFormat/>
    <w:uiPriority w:val="0"/>
    <w:pPr>
      <w:spacing w:after="120"/>
    </w:pPr>
  </w:style>
  <w:style w:type="paragraph" w:styleId="6">
    <w:name w:val="Normal Indent"/>
    <w:basedOn w:val="1"/>
    <w:qFormat/>
    <w:uiPriority w:val="0"/>
    <w:pPr>
      <w:ind w:firstLine="200" w:firstLineChars="200"/>
    </w:pPr>
  </w:style>
  <w:style w:type="paragraph" w:styleId="7">
    <w:name w:val="annotation text"/>
    <w:basedOn w:val="1"/>
    <w:semiHidden/>
    <w:unhideWhenUsed/>
    <w:qFormat/>
    <w:uiPriority w:val="99"/>
    <w:pPr>
      <w:jc w:val="left"/>
    </w:p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next w:val="10"/>
    <w:qFormat/>
    <w:uiPriority w:val="0"/>
    <w:pPr>
      <w:widowControl/>
      <w:spacing w:before="100" w:beforeAutospacing="1" w:after="100" w:afterAutospacing="1"/>
      <w:jc w:val="left"/>
    </w:pPr>
    <w:rPr>
      <w:rFonts w:ascii="宋体" w:hAnsi="宋体"/>
      <w:kern w:val="0"/>
      <w:sz w:val="18"/>
      <w:szCs w:val="18"/>
    </w:rPr>
  </w:style>
  <w:style w:type="paragraph" w:styleId="15">
    <w:name w:val="Title"/>
    <w:basedOn w:val="1"/>
    <w:next w:val="1"/>
    <w:qFormat/>
    <w:uiPriority w:val="10"/>
    <w:pPr>
      <w:spacing w:before="240" w:after="60"/>
      <w:jc w:val="center"/>
      <w:outlineLvl w:val="0"/>
    </w:pPr>
    <w:rPr>
      <w:rFonts w:ascii="Cambria" w:hAnsi="Cambria" w:cs="Times New Roman"/>
      <w:b/>
      <w:bCs/>
      <w:sz w:val="32"/>
      <w:szCs w:val="32"/>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页眉 Char"/>
    <w:basedOn w:val="18"/>
    <w:link w:val="2"/>
    <w:qFormat/>
    <w:uiPriority w:val="99"/>
    <w:rPr>
      <w:sz w:val="18"/>
      <w:szCs w:val="18"/>
    </w:rPr>
  </w:style>
  <w:style w:type="character" w:customStyle="1" w:styleId="23">
    <w:name w:val="页脚 Char"/>
    <w:basedOn w:val="18"/>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8"/>
    <w:link w:val="5"/>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8"/>
    <w:link w:val="9"/>
    <w:semiHidden/>
    <w:qFormat/>
    <w:uiPriority w:val="99"/>
  </w:style>
  <w:style w:type="character" w:customStyle="1" w:styleId="29">
    <w:name w:val="批注框文本 Char"/>
    <w:basedOn w:val="18"/>
    <w:link w:val="11"/>
    <w:semiHidden/>
    <w:qFormat/>
    <w:uiPriority w:val="99"/>
    <w:rPr>
      <w:sz w:val="18"/>
      <w:szCs w:val="18"/>
    </w:rPr>
  </w:style>
  <w:style w:type="character" w:customStyle="1" w:styleId="30">
    <w:name w:val="font01"/>
    <w:basedOn w:val="18"/>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小四正文"/>
    <w:basedOn w:val="1"/>
    <w:next w:val="1"/>
    <w:qFormat/>
    <w:locked/>
    <w:uiPriority w:val="0"/>
    <w:pPr>
      <w:spacing w:line="360" w:lineRule="auto"/>
      <w:ind w:firstLine="200" w:firstLineChars="200"/>
    </w:pPr>
    <w:rPr>
      <w:rFonts w:ascii="Calibri" w:hAnsi="Calibri"/>
      <w:sz w:val="24"/>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19</Pages>
  <Words>9580</Words>
  <Characters>10011</Characters>
  <Lines>14</Lines>
  <Paragraphs>4</Paragraphs>
  <TotalTime>3</TotalTime>
  <ScaleCrop>false</ScaleCrop>
  <LinksUpToDate>false</LinksUpToDate>
  <CharactersWithSpaces>10127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2023-04-13T03:56:00Z</cp:lastPrinted>
  <dcterms:modified xsi:type="dcterms:W3CDTF">2023-07-03T09:47:55Z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3A862DE1718140559898297CFD5BBE71_13</vt:lpwstr>
  </property>
</Properties>
</file>