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Arial" w:hAnsi="Arial" w:eastAsia="黑体" w:cs="Times New Roman"/>
          <w:b/>
          <w:bCs/>
          <w:sz w:val="32"/>
          <w:szCs w:val="32"/>
        </w:rPr>
      </w:pPr>
      <w:bookmarkStart w:id="0" w:name="_Hlt101233737"/>
      <w:bookmarkEnd w:id="0"/>
      <w:bookmarkStart w:id="1" w:name="_Hlt101843627"/>
      <w:bookmarkEnd w:id="1"/>
      <w:r>
        <w:rPr>
          <w:rFonts w:hint="eastAsia" w:ascii="Arial" w:hAnsi="Arial" w:eastAsia="黑体" w:cs="Times New Roman"/>
          <w:b/>
          <w:bCs/>
          <w:sz w:val="32"/>
          <w:szCs w:val="32"/>
        </w:rPr>
        <w:t>附件1：</w:t>
      </w:r>
      <w:r>
        <w:rPr>
          <w:rFonts w:hint="eastAsia" w:ascii="Arial" w:hAnsi="Arial" w:eastAsia="黑体" w:cs="Times New Roman"/>
          <w:b/>
          <w:bCs/>
          <w:sz w:val="32"/>
          <w:szCs w:val="32"/>
          <w:lang w:val="en-US" w:eastAsia="zh-CN"/>
        </w:rPr>
        <w:t>项目</w:t>
      </w:r>
      <w:r>
        <w:rPr>
          <w:rFonts w:hint="eastAsia" w:ascii="Arial" w:hAnsi="Arial" w:eastAsia="黑体" w:cs="Times New Roman"/>
          <w:b/>
          <w:bCs/>
          <w:sz w:val="32"/>
          <w:szCs w:val="32"/>
        </w:rPr>
        <w:t>需求</w:t>
      </w:r>
    </w:p>
    <w:p>
      <w:pPr>
        <w:spacing w:line="500" w:lineRule="exact"/>
        <w:rPr>
          <w:rFonts w:hint="eastAsia" w:ascii="宋体" w:hAnsi="宋体" w:eastAsia="宋体" w:cs="宋体"/>
          <w:sz w:val="24"/>
          <w:highlight w:val="none"/>
          <w:lang w:eastAsia="zh-CN"/>
        </w:rPr>
      </w:pPr>
      <w:r>
        <w:rPr>
          <w:rFonts w:hint="eastAsia" w:ascii="宋体" w:hAnsi="宋体" w:eastAsia="宋体" w:cs="宋体"/>
          <w:b w:val="0"/>
          <w:bCs w:val="0"/>
          <w:sz w:val="24"/>
          <w:szCs w:val="22"/>
          <w:highlight w:val="none"/>
          <w:lang w:eastAsia="zh-CN"/>
        </w:rPr>
        <w:t>（</w:t>
      </w:r>
      <w:r>
        <w:rPr>
          <w:rFonts w:hint="eastAsia" w:ascii="宋体" w:hAnsi="宋体" w:eastAsia="宋体" w:cs="宋体"/>
          <w:sz w:val="24"/>
          <w:highlight w:val="none"/>
        </w:rPr>
        <w:t>本章中标注“*”的条款为本项目的实质性条款，投标人不满足的，将按照无效投标处理。</w:t>
      </w:r>
      <w:r>
        <w:rPr>
          <w:rFonts w:hint="eastAsia" w:ascii="宋体" w:hAnsi="宋体" w:eastAsia="宋体" w:cs="宋体"/>
          <w:b w:val="0"/>
          <w:bCs w:val="0"/>
          <w:sz w:val="24"/>
          <w:szCs w:val="22"/>
          <w:highlight w:val="none"/>
          <w:lang w:eastAsia="zh-CN"/>
        </w:rPr>
        <w:t>）</w:t>
      </w:r>
    </w:p>
    <w:p>
      <w:pPr>
        <w:numPr>
          <w:ilvl w:val="0"/>
          <w:numId w:val="1"/>
        </w:numPr>
        <w:spacing w:line="500" w:lineRule="exact"/>
        <w:rPr>
          <w:rFonts w:hint="eastAsia" w:ascii="宋体" w:hAnsi="宋体" w:eastAsia="宋体" w:cs="宋体"/>
          <w:b/>
          <w:bCs/>
          <w:sz w:val="24"/>
          <w:szCs w:val="22"/>
          <w:highlight w:val="none"/>
          <w:lang w:eastAsia="zh-CN"/>
        </w:rPr>
      </w:pPr>
      <w:r>
        <w:rPr>
          <w:rFonts w:hint="eastAsia" w:ascii="宋体" w:hAnsi="宋体" w:eastAsia="宋体" w:cs="宋体"/>
          <w:b/>
          <w:bCs/>
          <w:sz w:val="24"/>
          <w:szCs w:val="22"/>
          <w:highlight w:val="none"/>
        </w:rPr>
        <w:t>项目概述</w:t>
      </w:r>
      <w:r>
        <w:rPr>
          <w:rFonts w:hint="eastAsia" w:ascii="宋体" w:hAnsi="宋体" w:eastAsia="宋体" w:cs="宋体"/>
          <w:b/>
          <w:bCs/>
          <w:sz w:val="24"/>
          <w:szCs w:val="22"/>
          <w:highlight w:val="none"/>
          <w:lang w:eastAsia="zh-CN"/>
        </w:rPr>
        <w:t>：</w:t>
      </w:r>
    </w:p>
    <w:p>
      <w:pPr>
        <w:spacing w:line="360" w:lineRule="auto"/>
        <w:ind w:firstLine="480" w:firstLineChars="200"/>
        <w:rPr>
          <w:rFonts w:hint="eastAsia" w:ascii="宋体" w:hAnsi="宋体" w:eastAsia="宋体" w:cs="宋体"/>
          <w:bCs/>
          <w:sz w:val="24"/>
          <w:szCs w:val="24"/>
          <w:lang w:bidi="ar"/>
        </w:rPr>
      </w:pPr>
      <w:r>
        <w:rPr>
          <w:rFonts w:hint="eastAsia" w:ascii="宋体" w:hAnsi="宋体" w:eastAsia="宋体" w:cs="宋体"/>
          <w:bCs/>
          <w:sz w:val="24"/>
          <w:szCs w:val="24"/>
          <w:lang w:bidi="ar"/>
        </w:rPr>
        <w:t>1.</w:t>
      </w:r>
      <w:r>
        <w:rPr>
          <w:rFonts w:hint="eastAsia" w:ascii="宋体" w:hAnsi="宋体" w:eastAsia="宋体" w:cs="宋体"/>
          <w:bCs/>
          <w:sz w:val="24"/>
          <w:szCs w:val="24"/>
          <w:lang w:val="en-US" w:eastAsia="zh-CN" w:bidi="ar"/>
        </w:rPr>
        <w:t>本项目</w:t>
      </w:r>
      <w:r>
        <w:rPr>
          <w:rFonts w:hint="eastAsia" w:ascii="宋体" w:hAnsi="宋体" w:eastAsia="宋体" w:cs="宋体"/>
          <w:bCs/>
          <w:sz w:val="24"/>
          <w:szCs w:val="24"/>
          <w:lang w:bidi="ar"/>
        </w:rPr>
        <w:t>拟采购</w:t>
      </w:r>
      <w:r>
        <w:rPr>
          <w:rFonts w:hint="eastAsia" w:ascii="宋体" w:hAnsi="宋体" w:eastAsia="宋体" w:cs="宋体"/>
          <w:bCs/>
          <w:sz w:val="24"/>
          <w:szCs w:val="24"/>
          <w:lang w:val="en-US" w:eastAsia="zh-CN" w:bidi="ar"/>
        </w:rPr>
        <w:t>医院现有</w:t>
      </w:r>
      <w:r>
        <w:rPr>
          <w:rFonts w:hint="eastAsia" w:ascii="宋体" w:hAnsi="宋体" w:eastAsia="宋体" w:cs="宋体"/>
          <w:kern w:val="2"/>
          <w:sz w:val="24"/>
          <w:szCs w:val="22"/>
          <w:highlight w:val="none"/>
        </w:rPr>
        <w:t>绿码人脸识别系统</w:t>
      </w:r>
      <w:r>
        <w:rPr>
          <w:rFonts w:hint="eastAsia" w:ascii="宋体" w:hAnsi="宋体" w:eastAsia="宋体" w:cs="宋体"/>
          <w:bCs/>
          <w:sz w:val="24"/>
          <w:szCs w:val="24"/>
          <w:lang w:bidi="ar"/>
        </w:rPr>
        <w:t>售后维护服务，</w:t>
      </w:r>
      <w:r>
        <w:rPr>
          <w:rFonts w:hint="eastAsia" w:ascii="宋体" w:hAnsi="宋体" w:eastAsia="宋体" w:cs="宋体"/>
          <w:bCs/>
          <w:sz w:val="24"/>
          <w:szCs w:val="24"/>
          <w:lang w:val="en-US" w:eastAsia="zh-CN" w:bidi="ar"/>
        </w:rPr>
        <w:t>包括</w:t>
      </w:r>
      <w:r>
        <w:rPr>
          <w:rFonts w:hint="eastAsia" w:ascii="宋体" w:hAnsi="宋体" w:eastAsia="宋体" w:cs="宋体"/>
          <w:bCs/>
          <w:kern w:val="2"/>
          <w:sz w:val="24"/>
          <w:szCs w:val="24"/>
          <w:lang w:bidi="ar"/>
        </w:rPr>
        <w:t>绿码人脸识别系统</w:t>
      </w:r>
      <w:r>
        <w:rPr>
          <w:rFonts w:hint="eastAsia" w:ascii="宋体" w:hAnsi="宋体" w:eastAsia="宋体" w:cs="宋体"/>
          <w:bCs/>
          <w:sz w:val="24"/>
          <w:szCs w:val="24"/>
          <w:lang w:bidi="ar"/>
        </w:rPr>
        <w:t>售后</w:t>
      </w:r>
      <w:r>
        <w:rPr>
          <w:rFonts w:hint="eastAsia" w:ascii="宋体" w:hAnsi="宋体" w:eastAsia="宋体" w:cs="宋体"/>
          <w:bCs/>
          <w:sz w:val="24"/>
          <w:szCs w:val="24"/>
          <w:lang w:val="en-US" w:eastAsia="zh-CN" w:bidi="ar"/>
        </w:rPr>
        <w:t>基础维保服务和增值服务，</w:t>
      </w:r>
      <w:r>
        <w:rPr>
          <w:rFonts w:hint="eastAsia" w:ascii="宋体" w:hAnsi="宋体" w:eastAsia="宋体" w:cs="宋体"/>
          <w:bCs/>
          <w:sz w:val="24"/>
          <w:szCs w:val="24"/>
          <w:lang w:bidi="ar"/>
        </w:rPr>
        <w:t>预算</w:t>
      </w:r>
      <w:r>
        <w:rPr>
          <w:rFonts w:hint="eastAsia" w:ascii="宋体" w:hAnsi="宋体" w:eastAsia="宋体" w:cs="宋体"/>
          <w:bCs/>
          <w:sz w:val="24"/>
          <w:szCs w:val="24"/>
          <w:lang w:val="en-US" w:eastAsia="zh-CN" w:bidi="ar"/>
        </w:rPr>
        <w:t>5.5万</w:t>
      </w:r>
      <w:r>
        <w:rPr>
          <w:rFonts w:hint="eastAsia" w:ascii="宋体" w:hAnsi="宋体" w:eastAsia="宋体" w:cs="宋体"/>
          <w:bCs/>
          <w:sz w:val="24"/>
          <w:szCs w:val="24"/>
          <w:lang w:bidi="ar"/>
        </w:rPr>
        <w:t>元。</w:t>
      </w:r>
    </w:p>
    <w:p>
      <w:pPr>
        <w:spacing w:line="360" w:lineRule="auto"/>
        <w:ind w:firstLine="480" w:firstLineChars="200"/>
        <w:rPr>
          <w:rFonts w:hint="eastAsia" w:ascii="宋体" w:hAnsi="宋体" w:eastAsia="宋体" w:cs="宋体"/>
          <w:bCs/>
          <w:sz w:val="24"/>
          <w:szCs w:val="24"/>
          <w:lang w:eastAsia="zh-CN" w:bidi="ar"/>
        </w:rPr>
      </w:pPr>
      <w:r>
        <w:rPr>
          <w:rFonts w:hint="eastAsia" w:ascii="宋体" w:hAnsi="宋体" w:eastAsia="宋体" w:cs="宋体"/>
          <w:bCs/>
          <w:sz w:val="24"/>
          <w:szCs w:val="24"/>
          <w:lang w:bidi="ar"/>
        </w:rPr>
        <w:t>2.服务期限三年，合同一年一签。</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0" w:firstLineChars="0"/>
        <w:textAlignment w:val="auto"/>
        <w:rPr>
          <w:rFonts w:hint="eastAsia" w:ascii="宋体" w:hAnsi="宋体" w:eastAsia="宋体" w:cs="宋体"/>
          <w:b/>
          <w:bCs/>
          <w:sz w:val="24"/>
          <w:szCs w:val="22"/>
          <w:highlight w:val="none"/>
          <w:lang w:val="en-US" w:eastAsia="zh-CN"/>
        </w:rPr>
      </w:pPr>
      <w:r>
        <w:rPr>
          <w:rFonts w:hint="eastAsia" w:ascii="宋体" w:hAnsi="宋体" w:eastAsia="宋体" w:cs="宋体"/>
          <w:b/>
          <w:bCs/>
          <w:sz w:val="24"/>
          <w:szCs w:val="22"/>
          <w:highlight w:val="none"/>
          <w:lang w:val="en-US" w:eastAsia="zh-CN"/>
        </w:rPr>
        <w:t>二、</w:t>
      </w:r>
      <w:r>
        <w:rPr>
          <w:rFonts w:hint="eastAsia" w:ascii="宋体" w:hAnsi="宋体" w:eastAsia="宋体" w:cs="宋体"/>
          <w:color w:val="FF0000"/>
          <w:sz w:val="24"/>
          <w:highlight w:val="none"/>
        </w:rPr>
        <w:t>*</w:t>
      </w:r>
      <w:r>
        <w:rPr>
          <w:rFonts w:hint="eastAsia" w:ascii="宋体" w:hAnsi="宋体" w:eastAsia="宋体" w:cs="宋体"/>
          <w:b/>
          <w:bCs/>
          <w:sz w:val="24"/>
          <w:szCs w:val="22"/>
          <w:highlight w:val="none"/>
          <w:lang w:val="en-US" w:eastAsia="zh-CN"/>
        </w:rPr>
        <w:t>商务要求：</w:t>
      </w:r>
    </w:p>
    <w:p>
      <w:pPr>
        <w:keepNext w:val="0"/>
        <w:keepLines w:val="0"/>
        <w:pageBreakBefore w:val="0"/>
        <w:numPr>
          <w:ilvl w:val="-1"/>
          <w:numId w:val="0"/>
        </w:numPr>
        <w:kinsoku/>
        <w:wordWrap/>
        <w:overflowPunct/>
        <w:topLinePunct w:val="0"/>
        <w:bidi w:val="0"/>
        <w:snapToGrid/>
        <w:spacing w:line="400" w:lineRule="exact"/>
        <w:ind w:firstLine="0" w:firstLineChars="0"/>
        <w:textAlignment w:val="auto"/>
        <w:rPr>
          <w:rFonts w:hint="default" w:ascii="宋体" w:hAnsi="宋体" w:eastAsia="宋体" w:cs="宋体"/>
          <w:b w:val="0"/>
          <w:bCs/>
          <w:sz w:val="24"/>
          <w:szCs w:val="24"/>
          <w:lang w:val="en-US" w:eastAsia="zh-CN" w:bidi="ar"/>
        </w:rPr>
      </w:pPr>
      <w:r>
        <w:rPr>
          <w:rFonts w:hint="eastAsia" w:ascii="宋体" w:hAnsi="宋体" w:eastAsia="宋体" w:cs="宋体"/>
          <w:b w:val="0"/>
          <w:bCs/>
          <w:sz w:val="24"/>
          <w:szCs w:val="24"/>
          <w:lang w:val="en-US" w:eastAsia="zh-CN" w:bidi="ar"/>
        </w:rPr>
        <w:t>1.</w:t>
      </w:r>
      <w:r>
        <w:rPr>
          <w:rFonts w:hint="default" w:ascii="宋体" w:hAnsi="宋体" w:eastAsia="宋体" w:cs="宋体"/>
          <w:b w:val="0"/>
          <w:bCs/>
          <w:sz w:val="24"/>
          <w:szCs w:val="24"/>
          <w:lang w:eastAsia="zh-CN" w:bidi="ar"/>
        </w:rPr>
        <w:t>报价要求：</w:t>
      </w:r>
    </w:p>
    <w:p>
      <w:pPr>
        <w:numPr>
          <w:ilvl w:val="255"/>
          <w:numId w:val="0"/>
        </w:numPr>
        <w:spacing w:line="400" w:lineRule="exact"/>
        <w:ind w:firstLine="480" w:firstLineChars="200"/>
        <w:rPr>
          <w:rFonts w:ascii="宋体" w:hAnsi="宋体" w:eastAsia="宋体" w:cs="宋体"/>
          <w:bCs/>
          <w:sz w:val="24"/>
          <w:szCs w:val="24"/>
          <w:lang w:bidi="ar"/>
        </w:rPr>
      </w:pPr>
      <w:r>
        <w:rPr>
          <w:rFonts w:hint="eastAsia" w:ascii="宋体" w:hAnsi="宋体" w:eastAsia="宋体" w:cs="宋体"/>
          <w:b w:val="0"/>
          <w:bCs/>
          <w:sz w:val="24"/>
          <w:szCs w:val="24"/>
          <w:lang w:val="en-US" w:eastAsia="zh-CN" w:bidi="ar"/>
        </w:rPr>
        <w:t>1.</w:t>
      </w:r>
      <w:r>
        <w:rPr>
          <w:rFonts w:hint="default" w:ascii="宋体" w:hAnsi="宋体" w:eastAsia="宋体" w:cs="宋体"/>
          <w:b w:val="0"/>
          <w:bCs/>
          <w:sz w:val="24"/>
          <w:szCs w:val="24"/>
          <w:lang w:val="en-US" w:eastAsia="zh-CN" w:bidi="ar"/>
        </w:rPr>
        <w:t>1</w:t>
      </w:r>
      <w:r>
        <w:rPr>
          <w:rFonts w:hint="eastAsia" w:ascii="宋体" w:hAnsi="宋体" w:eastAsia="宋体" w:cs="宋体"/>
          <w:b w:val="0"/>
          <w:bCs/>
          <w:sz w:val="24"/>
          <w:szCs w:val="24"/>
          <w:lang w:val="en-US" w:eastAsia="zh-CN" w:bidi="ar"/>
        </w:rPr>
        <w:t xml:space="preserve"> </w:t>
      </w:r>
      <w:r>
        <w:rPr>
          <w:rFonts w:hint="default" w:ascii="宋体" w:hAnsi="宋体" w:eastAsia="宋体" w:cs="宋体"/>
          <w:b w:val="0"/>
          <w:bCs/>
          <w:sz w:val="24"/>
          <w:szCs w:val="24"/>
          <w:lang w:val="en-US" w:eastAsia="zh-CN" w:bidi="ar"/>
        </w:rPr>
        <w:t>本项目预算为</w:t>
      </w:r>
      <w:r>
        <w:rPr>
          <w:rFonts w:hint="eastAsia" w:ascii="宋体" w:hAnsi="宋体" w:eastAsia="宋体" w:cs="宋体"/>
          <w:b w:val="0"/>
          <w:bCs/>
          <w:sz w:val="24"/>
          <w:szCs w:val="24"/>
          <w:lang w:val="en-US" w:eastAsia="zh-CN" w:bidi="ar"/>
        </w:rPr>
        <w:t>5.5</w:t>
      </w:r>
      <w:r>
        <w:rPr>
          <w:rFonts w:hint="default" w:ascii="宋体" w:hAnsi="宋体" w:eastAsia="宋体" w:cs="宋体"/>
          <w:b w:val="0"/>
          <w:bCs/>
          <w:sz w:val="24"/>
          <w:szCs w:val="24"/>
          <w:lang w:val="en-US" w:eastAsia="zh-CN" w:bidi="ar"/>
        </w:rPr>
        <w:t>万元人民币，</w:t>
      </w:r>
      <w:r>
        <w:rPr>
          <w:rFonts w:hint="eastAsia" w:ascii="宋体" w:hAnsi="宋体" w:eastAsia="宋体" w:cs="宋体"/>
          <w:bCs/>
          <w:sz w:val="24"/>
          <w:szCs w:val="24"/>
          <w:lang w:bidi="ar"/>
        </w:rPr>
        <w:t>响应人的投标报价应报价</w:t>
      </w:r>
      <w:r>
        <w:rPr>
          <w:rFonts w:ascii="宋体" w:hAnsi="宋体" w:eastAsia="宋体" w:cs="宋体"/>
          <w:bCs/>
          <w:sz w:val="24"/>
          <w:szCs w:val="24"/>
          <w:lang w:bidi="ar"/>
        </w:rPr>
        <w:t>应</w:t>
      </w:r>
      <w:r>
        <w:rPr>
          <w:rFonts w:hint="eastAsia" w:ascii="宋体" w:hAnsi="宋体" w:eastAsia="宋体" w:cs="宋体"/>
          <w:bCs/>
          <w:sz w:val="24"/>
          <w:szCs w:val="24"/>
          <w:lang w:bidi="ar"/>
        </w:rPr>
        <w:t>至少</w:t>
      </w:r>
      <w:r>
        <w:rPr>
          <w:rFonts w:ascii="宋体" w:hAnsi="宋体" w:eastAsia="宋体" w:cs="宋体"/>
          <w:bCs/>
          <w:sz w:val="24"/>
          <w:szCs w:val="24"/>
          <w:lang w:bidi="ar"/>
        </w:rPr>
        <w:t>包括服务成本、</w:t>
      </w:r>
      <w:r>
        <w:rPr>
          <w:rFonts w:hint="eastAsia" w:ascii="宋体" w:hAnsi="宋体" w:eastAsia="宋体" w:cs="宋体"/>
          <w:bCs/>
          <w:sz w:val="24"/>
          <w:szCs w:val="24"/>
          <w:lang w:bidi="ar"/>
        </w:rPr>
        <w:t>人员费用、</w:t>
      </w:r>
      <w:r>
        <w:rPr>
          <w:rFonts w:ascii="宋体" w:hAnsi="宋体" w:eastAsia="宋体" w:cs="宋体"/>
          <w:bCs/>
          <w:sz w:val="24"/>
          <w:szCs w:val="24"/>
          <w:lang w:bidi="ar"/>
        </w:rPr>
        <w:t>税费</w:t>
      </w:r>
      <w:r>
        <w:rPr>
          <w:rFonts w:hint="eastAsia" w:ascii="宋体" w:hAnsi="宋体" w:eastAsia="宋体" w:cs="宋体"/>
          <w:bCs/>
          <w:sz w:val="24"/>
          <w:szCs w:val="24"/>
          <w:lang w:bidi="ar"/>
        </w:rPr>
        <w:t>、</w:t>
      </w:r>
      <w:r>
        <w:rPr>
          <w:rFonts w:ascii="宋体" w:hAnsi="宋体" w:eastAsia="宋体" w:cs="宋体"/>
          <w:bCs/>
          <w:sz w:val="24"/>
          <w:szCs w:val="24"/>
          <w:lang w:bidi="ar"/>
        </w:rPr>
        <w:t>利润</w:t>
      </w:r>
      <w:r>
        <w:rPr>
          <w:rFonts w:hint="eastAsia" w:ascii="宋体" w:hAnsi="宋体" w:eastAsia="宋体" w:cs="宋体"/>
          <w:bCs/>
          <w:sz w:val="24"/>
          <w:szCs w:val="24"/>
          <w:lang w:bidi="ar"/>
        </w:rPr>
        <w:t>、培训、交通费等其他与完成本项目的服务工作全部费用</w:t>
      </w:r>
      <w:r>
        <w:rPr>
          <w:rFonts w:ascii="宋体" w:hAnsi="宋体" w:eastAsia="宋体" w:cs="宋体"/>
          <w:bCs/>
          <w:sz w:val="24"/>
          <w:szCs w:val="24"/>
          <w:lang w:bidi="ar"/>
        </w:rPr>
        <w:t>。由响应人根据采购文件所提供的资料自行测算投标报价；一经中选，报价总价作为</w:t>
      </w:r>
      <w:r>
        <w:rPr>
          <w:rFonts w:hint="eastAsia" w:ascii="宋体" w:hAnsi="宋体" w:eastAsia="宋体" w:cs="宋体"/>
          <w:bCs/>
          <w:sz w:val="24"/>
          <w:szCs w:val="24"/>
          <w:lang w:bidi="ar"/>
        </w:rPr>
        <w:t>成交人</w:t>
      </w:r>
      <w:r>
        <w:rPr>
          <w:rFonts w:ascii="宋体" w:hAnsi="宋体" w:eastAsia="宋体" w:cs="宋体"/>
          <w:bCs/>
          <w:sz w:val="24"/>
          <w:szCs w:val="24"/>
          <w:lang w:bidi="ar"/>
        </w:rPr>
        <w:t>与采购人签定的合同金额，合同期限内不做调整；</w:t>
      </w:r>
    </w:p>
    <w:p>
      <w:pPr>
        <w:numPr>
          <w:ilvl w:val="255"/>
          <w:numId w:val="0"/>
        </w:numPr>
        <w:spacing w:line="400" w:lineRule="exact"/>
        <w:ind w:firstLine="480" w:firstLineChars="200"/>
        <w:rPr>
          <w:rFonts w:ascii="宋体" w:hAnsi="宋体" w:eastAsia="宋体" w:cs="宋体"/>
          <w:bCs/>
          <w:sz w:val="24"/>
          <w:szCs w:val="24"/>
          <w:lang w:bidi="ar"/>
        </w:rPr>
      </w:pPr>
      <w:r>
        <w:rPr>
          <w:rFonts w:hint="eastAsia" w:ascii="宋体" w:hAnsi="宋体" w:eastAsia="宋体" w:cs="宋体"/>
          <w:bCs/>
          <w:sz w:val="24"/>
          <w:szCs w:val="24"/>
          <w:lang w:bidi="ar"/>
        </w:rPr>
        <w:t>1.</w:t>
      </w:r>
      <w:r>
        <w:rPr>
          <w:rFonts w:ascii="宋体" w:hAnsi="宋体" w:eastAsia="宋体" w:cs="宋体"/>
          <w:bCs/>
          <w:sz w:val="24"/>
          <w:szCs w:val="24"/>
          <w:lang w:bidi="ar"/>
        </w:rPr>
        <w:t>2</w:t>
      </w:r>
      <w:r>
        <w:rPr>
          <w:rFonts w:hint="eastAsia" w:ascii="宋体" w:hAnsi="宋体" w:eastAsia="宋体" w:cs="宋体"/>
          <w:bCs/>
          <w:sz w:val="24"/>
          <w:szCs w:val="24"/>
          <w:lang w:bidi="ar"/>
        </w:rPr>
        <w:t xml:space="preserve"> </w:t>
      </w:r>
      <w:r>
        <w:rPr>
          <w:rFonts w:ascii="宋体" w:hAnsi="宋体" w:eastAsia="宋体" w:cs="宋体"/>
          <w:bCs/>
          <w:sz w:val="24"/>
          <w:szCs w:val="24"/>
          <w:lang w:bidi="ar"/>
        </w:rPr>
        <w:t>响应人应根据本</w:t>
      </w:r>
      <w:r>
        <w:rPr>
          <w:rFonts w:hint="eastAsia" w:ascii="宋体" w:hAnsi="宋体" w:eastAsia="宋体" w:cs="宋体"/>
          <w:bCs/>
          <w:sz w:val="24"/>
          <w:szCs w:val="24"/>
          <w:lang w:bidi="ar"/>
        </w:rPr>
        <w:t>自身</w:t>
      </w:r>
      <w:r>
        <w:rPr>
          <w:rFonts w:ascii="宋体" w:hAnsi="宋体" w:eastAsia="宋体" w:cs="宋体"/>
          <w:bCs/>
          <w:sz w:val="24"/>
          <w:szCs w:val="24"/>
          <w:lang w:bidi="ar"/>
        </w:rPr>
        <w:t>的成本自行决定报价，但不得以低于其</w:t>
      </w:r>
      <w:r>
        <w:rPr>
          <w:rFonts w:hint="eastAsia" w:ascii="宋体" w:hAnsi="宋体" w:eastAsia="宋体" w:cs="宋体"/>
          <w:bCs/>
          <w:sz w:val="24"/>
          <w:szCs w:val="24"/>
          <w:lang w:bidi="ar"/>
        </w:rPr>
        <w:t>自身</w:t>
      </w:r>
      <w:r>
        <w:rPr>
          <w:rFonts w:ascii="宋体" w:hAnsi="宋体" w:eastAsia="宋体" w:cs="宋体"/>
          <w:bCs/>
          <w:sz w:val="24"/>
          <w:szCs w:val="24"/>
          <w:lang w:bidi="ar"/>
        </w:rPr>
        <w:t>成本的报价投标；</w:t>
      </w:r>
    </w:p>
    <w:p>
      <w:pPr>
        <w:numPr>
          <w:ilvl w:val="255"/>
          <w:numId w:val="0"/>
        </w:numPr>
        <w:spacing w:line="400" w:lineRule="exact"/>
        <w:ind w:firstLine="480" w:firstLineChars="200"/>
        <w:rPr>
          <w:rFonts w:ascii="宋体" w:hAnsi="宋体" w:eastAsia="宋体" w:cs="宋体"/>
          <w:bCs/>
          <w:sz w:val="24"/>
          <w:szCs w:val="24"/>
          <w:lang w:bidi="ar"/>
        </w:rPr>
      </w:pPr>
      <w:r>
        <w:rPr>
          <w:rFonts w:hint="eastAsia" w:ascii="宋体" w:hAnsi="宋体" w:eastAsia="宋体" w:cs="宋体"/>
          <w:bCs/>
          <w:sz w:val="24"/>
          <w:szCs w:val="24"/>
          <w:lang w:bidi="ar"/>
        </w:rPr>
        <w:t>1.</w:t>
      </w:r>
      <w:r>
        <w:rPr>
          <w:rFonts w:ascii="宋体" w:hAnsi="宋体" w:eastAsia="宋体" w:cs="宋体"/>
          <w:bCs/>
          <w:sz w:val="24"/>
          <w:szCs w:val="24"/>
          <w:lang w:bidi="ar"/>
        </w:rPr>
        <w:t>3</w:t>
      </w:r>
      <w:r>
        <w:rPr>
          <w:rFonts w:hint="eastAsia" w:ascii="宋体" w:hAnsi="宋体" w:eastAsia="宋体" w:cs="宋体"/>
          <w:bCs/>
          <w:sz w:val="24"/>
          <w:szCs w:val="24"/>
          <w:lang w:bidi="ar"/>
        </w:rPr>
        <w:t xml:space="preserve"> </w:t>
      </w:r>
      <w:r>
        <w:rPr>
          <w:rFonts w:ascii="宋体" w:hAnsi="宋体" w:eastAsia="宋体" w:cs="宋体"/>
          <w:bCs/>
          <w:sz w:val="24"/>
          <w:szCs w:val="24"/>
          <w:lang w:bidi="ar"/>
        </w:rPr>
        <w:t>响应人的报价不得超过项目预算金额</w:t>
      </w:r>
      <w:r>
        <w:rPr>
          <w:rFonts w:hint="eastAsia" w:ascii="宋体" w:hAnsi="宋体" w:eastAsia="宋体" w:cs="宋体"/>
          <w:bCs/>
          <w:sz w:val="24"/>
          <w:szCs w:val="24"/>
          <w:lang w:bidi="ar"/>
        </w:rPr>
        <w:t>，否则作无效响应处理</w:t>
      </w:r>
      <w:r>
        <w:rPr>
          <w:rFonts w:ascii="宋体" w:hAnsi="宋体" w:eastAsia="宋体" w:cs="宋体"/>
          <w:bCs/>
          <w:sz w:val="24"/>
          <w:szCs w:val="24"/>
          <w:lang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2．服务期限及地点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2.1 服务期限：</w:t>
      </w:r>
      <w:r>
        <w:rPr>
          <w:rFonts w:hint="eastAsia" w:ascii="宋体" w:hAnsi="宋体" w:eastAsia="宋体" w:cs="宋体"/>
          <w:bCs/>
          <w:sz w:val="24"/>
          <w:szCs w:val="24"/>
          <w:lang w:bidi="ar"/>
        </w:rPr>
        <w:t>服务期限三年，合同一年一签</w:t>
      </w:r>
      <w:r>
        <w:rPr>
          <w:rFonts w:hint="eastAsia" w:ascii="宋体" w:hAnsi="宋体" w:eastAsia="宋体" w:cs="宋体"/>
          <w:bCs/>
          <w:kern w:val="2"/>
          <w:sz w:val="24"/>
          <w:szCs w:val="24"/>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2.2 交货地点: 成都市龙泉驿区妇幼保健院。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3．付款方法：</w:t>
      </w:r>
    </w:p>
    <w:p>
      <w:pPr>
        <w:spacing w:line="360" w:lineRule="auto"/>
        <w:ind w:firstLine="480" w:firstLineChars="200"/>
        <w:rPr>
          <w:rFonts w:ascii="宋体" w:hAnsi="宋体" w:eastAsia="宋体" w:cs="宋体"/>
          <w:bCs/>
          <w:sz w:val="24"/>
          <w:szCs w:val="24"/>
          <w:lang w:bidi="ar"/>
        </w:rPr>
      </w:pPr>
      <w:r>
        <w:rPr>
          <w:rFonts w:hint="eastAsia" w:ascii="宋体" w:hAnsi="宋体" w:eastAsia="宋体" w:cs="宋体"/>
          <w:bCs/>
          <w:kern w:val="2"/>
          <w:sz w:val="24"/>
          <w:szCs w:val="24"/>
          <w:lang w:val="en-US" w:eastAsia="zh-CN" w:bidi="ar"/>
        </w:rPr>
        <w:t xml:space="preserve">3.1 </w:t>
      </w:r>
      <w:r>
        <w:rPr>
          <w:rFonts w:hint="eastAsia" w:ascii="宋体" w:hAnsi="宋体" w:eastAsia="宋体" w:cs="宋体"/>
          <w:bCs/>
          <w:sz w:val="24"/>
          <w:szCs w:val="24"/>
          <w:lang w:bidi="ar"/>
        </w:rPr>
        <w:t>双方签订服务和合同后30个工作日内，采购人向中选人支付合同总金额的50%；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eastAsia" w:ascii="宋体" w:hAnsi="宋体" w:eastAsia="宋体" w:cs="宋体"/>
          <w:bCs/>
          <w:sz w:val="24"/>
          <w:szCs w:val="24"/>
          <w:lang w:bidi="ar"/>
        </w:rPr>
      </w:pPr>
      <w:r>
        <w:rPr>
          <w:rFonts w:hint="eastAsia" w:ascii="宋体" w:hAnsi="宋体" w:eastAsia="宋体" w:cs="宋体"/>
          <w:bCs/>
          <w:sz w:val="24"/>
          <w:szCs w:val="24"/>
          <w:lang w:bidi="ar"/>
        </w:rPr>
        <w:t>3.2 服务合同期满后30个工作日内，采购人针对中选人提供的年度服务进行综合考核评分。评分≥80分视为考核合格，采购人向中选人支付全额金额的50%。评分＜80视为考核不合格，评分每少一分扣除合同金额的1%，扣除上限为合同金额的8%。</w:t>
      </w:r>
    </w:p>
    <w:p>
      <w:pPr>
        <w:numPr>
          <w:ilvl w:val="-1"/>
          <w:numId w:val="0"/>
        </w:numPr>
        <w:spacing w:line="360" w:lineRule="auto"/>
        <w:ind w:left="0" w:leftChars="0" w:firstLine="0" w:firstLineChars="0"/>
        <w:rPr>
          <w:rFonts w:hint="eastAsia" w:ascii="宋体" w:hAnsi="宋体" w:eastAsia="宋体" w:cs="宋体"/>
          <w:b w:val="0"/>
          <w:bCs/>
          <w:sz w:val="24"/>
          <w:szCs w:val="24"/>
          <w:lang w:bidi="ar"/>
        </w:rPr>
      </w:pPr>
      <w:r>
        <w:rPr>
          <w:rFonts w:hint="eastAsia" w:ascii="宋体" w:hAnsi="宋体" w:eastAsia="宋体" w:cs="宋体"/>
          <w:bCs/>
          <w:sz w:val="24"/>
          <w:szCs w:val="24"/>
          <w:lang w:val="en-US" w:eastAsia="zh-CN" w:bidi="ar"/>
        </w:rPr>
        <w:t>4.其他</w:t>
      </w:r>
      <w:r>
        <w:rPr>
          <w:rFonts w:hint="eastAsia" w:ascii="宋体" w:hAnsi="宋体" w:eastAsia="宋体" w:cs="宋体"/>
          <w:b w:val="0"/>
          <w:bCs/>
          <w:sz w:val="24"/>
          <w:szCs w:val="24"/>
          <w:lang w:bidi="ar"/>
        </w:rPr>
        <w:t>要求</w:t>
      </w:r>
    </w:p>
    <w:p>
      <w:pPr>
        <w:numPr>
          <w:ilvl w:val="0"/>
          <w:numId w:val="0"/>
        </w:numPr>
        <w:spacing w:line="360" w:lineRule="auto"/>
        <w:ind w:firstLine="480" w:firstLineChars="200"/>
        <w:rPr>
          <w:rFonts w:hint="default" w:eastAsia="宋体"/>
          <w:lang w:val="en-US" w:eastAsia="zh-CN"/>
        </w:rPr>
      </w:pPr>
      <w:r>
        <w:rPr>
          <w:rFonts w:hint="eastAsia" w:ascii="宋体" w:hAnsi="宋体" w:eastAsia="宋体" w:cs="宋体"/>
          <w:bCs/>
          <w:sz w:val="24"/>
          <w:szCs w:val="24"/>
          <w:lang w:val="en-US" w:eastAsia="zh-CN" w:bidi="ar"/>
        </w:rPr>
        <w:t>4.1原厂授权：成交人在合同签订后，</w:t>
      </w:r>
      <w:r>
        <w:rPr>
          <w:rFonts w:hint="eastAsia" w:ascii="宋体" w:hAnsi="宋体" w:eastAsia="宋体" w:cs="宋体"/>
          <w:bCs/>
          <w:sz w:val="24"/>
          <w:szCs w:val="24"/>
          <w:lang w:bidi="ar"/>
        </w:rPr>
        <w:t>需提供系统设备</w:t>
      </w:r>
      <w:r>
        <w:rPr>
          <w:rFonts w:hint="eastAsia" w:ascii="宋体" w:hAnsi="宋体" w:eastAsia="宋体" w:cs="宋体"/>
          <w:bCs/>
          <w:sz w:val="24"/>
          <w:szCs w:val="24"/>
          <w:lang w:val="en-US" w:eastAsia="zh-CN" w:bidi="ar"/>
        </w:rPr>
        <w:t>生产</w:t>
      </w:r>
      <w:r>
        <w:rPr>
          <w:rFonts w:hint="eastAsia" w:ascii="宋体" w:hAnsi="宋体" w:eastAsia="宋体" w:cs="宋体"/>
          <w:bCs/>
          <w:sz w:val="24"/>
          <w:szCs w:val="24"/>
          <w:lang w:bidi="ar"/>
        </w:rPr>
        <w:t>厂商</w:t>
      </w:r>
      <w:r>
        <w:rPr>
          <w:rFonts w:hint="eastAsia" w:ascii="宋体" w:hAnsi="宋体" w:eastAsia="宋体" w:cs="宋体"/>
          <w:bCs/>
          <w:sz w:val="24"/>
          <w:szCs w:val="24"/>
          <w:lang w:eastAsia="zh-CN" w:bidi="ar"/>
        </w:rPr>
        <w:t>（</w:t>
      </w:r>
      <w:r>
        <w:rPr>
          <w:rFonts w:hint="eastAsia" w:ascii="宋体" w:hAnsi="宋体" w:eastAsia="宋体" w:cs="宋体"/>
          <w:bCs/>
          <w:sz w:val="24"/>
          <w:szCs w:val="24"/>
          <w:lang w:bidi="ar"/>
        </w:rPr>
        <w:t>重庆紫光华山智安科技有限公司</w:t>
      </w:r>
      <w:r>
        <w:rPr>
          <w:rFonts w:hint="eastAsia" w:ascii="宋体" w:hAnsi="宋体" w:eastAsia="宋体" w:cs="宋体"/>
          <w:bCs/>
          <w:sz w:val="24"/>
          <w:szCs w:val="24"/>
          <w:lang w:eastAsia="zh-CN" w:bidi="ar"/>
        </w:rPr>
        <w:t>）</w:t>
      </w:r>
      <w:r>
        <w:rPr>
          <w:rFonts w:hint="eastAsia" w:ascii="宋体" w:hAnsi="宋体" w:eastAsia="宋体" w:cs="宋体"/>
          <w:bCs/>
          <w:sz w:val="24"/>
          <w:szCs w:val="24"/>
          <w:lang w:bidi="ar"/>
        </w:rPr>
        <w:t>对</w:t>
      </w:r>
      <w:r>
        <w:rPr>
          <w:rFonts w:hint="eastAsia" w:ascii="宋体" w:hAnsi="宋体" w:eastAsia="宋体" w:cs="宋体"/>
          <w:bCs/>
          <w:sz w:val="24"/>
          <w:szCs w:val="24"/>
          <w:lang w:val="en-US" w:eastAsia="zh-CN" w:bidi="ar"/>
        </w:rPr>
        <w:t>本项目的</w:t>
      </w:r>
      <w:r>
        <w:rPr>
          <w:rFonts w:hint="eastAsia" w:ascii="宋体" w:hAnsi="宋体" w:eastAsia="宋体" w:cs="宋体"/>
          <w:bCs/>
          <w:sz w:val="24"/>
          <w:szCs w:val="24"/>
          <w:lang w:bidi="ar"/>
        </w:rPr>
        <w:t>运维能力认证函。</w:t>
      </w:r>
    </w:p>
    <w:p>
      <w:pPr>
        <w:pStyle w:val="29"/>
        <w:keepNext w:val="0"/>
        <w:keepLines w:val="0"/>
        <w:pageBreakBefore w:val="0"/>
        <w:widowControl/>
        <w:numPr>
          <w:ilvl w:val="-1"/>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val="0"/>
          <w:sz w:val="24"/>
          <w:highlight w:val="none"/>
          <w:lang w:val="en-US" w:eastAsia="zh-CN"/>
        </w:rPr>
      </w:pPr>
      <w:r>
        <w:rPr>
          <w:rFonts w:hint="eastAsia" w:ascii="宋体" w:hAnsi="宋体" w:eastAsia="宋体" w:cs="宋体"/>
          <w:b w:val="0"/>
          <w:bCs/>
          <w:sz w:val="24"/>
          <w:szCs w:val="24"/>
          <w:highlight w:val="none"/>
          <w:lang w:val="en-US" w:eastAsia="zh-CN" w:bidi="ar"/>
        </w:rPr>
        <w:t>4.2</w:t>
      </w:r>
      <w:r>
        <w:rPr>
          <w:rFonts w:hint="eastAsia" w:ascii="宋体" w:hAnsi="宋体" w:eastAsia="宋体" w:cs="宋体"/>
          <w:bCs/>
          <w:i w:val="0"/>
          <w:iCs w:val="0"/>
          <w:caps w:val="0"/>
          <w:spacing w:val="0"/>
          <w:sz w:val="24"/>
          <w:szCs w:val="24"/>
          <w:shd w:val="clear"/>
          <w:lang w:val="en-US" w:eastAsia="zh-CN" w:bidi="ar"/>
        </w:rPr>
        <w:t>申请人</w:t>
      </w:r>
      <w:r>
        <w:rPr>
          <w:rFonts w:hint="eastAsia" w:ascii="宋体" w:hAnsi="宋体" w:eastAsia="宋体" w:cs="宋体"/>
          <w:bCs/>
          <w:i w:val="0"/>
          <w:iCs w:val="0"/>
          <w:caps w:val="0"/>
          <w:spacing w:val="0"/>
          <w:sz w:val="24"/>
          <w:szCs w:val="24"/>
          <w:shd w:val="clear"/>
          <w:lang w:bidi="ar"/>
        </w:rPr>
        <w:t>必须要保证所投内容标准符合国家及行业、地方相关的要求，并承担其全部法律责任，同时采购人有权对在项目持续期间存在的问题提出整改措施及验收检查</w:t>
      </w:r>
      <w:r>
        <w:rPr>
          <w:rFonts w:hint="eastAsia" w:ascii="宋体" w:hAnsi="宋体" w:eastAsia="宋体" w:cs="宋体"/>
          <w:bCs/>
          <w:i w:val="0"/>
          <w:iCs w:val="0"/>
          <w:caps w:val="0"/>
          <w:spacing w:val="0"/>
          <w:sz w:val="24"/>
          <w:szCs w:val="24"/>
          <w:shd w:val="clear"/>
          <w:lang w:eastAsia="zh-CN" w:bidi="ar"/>
        </w:rPr>
        <w:t>。</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b/>
          <w:bCs w:val="0"/>
          <w:sz w:val="24"/>
          <w:highlight w:val="none"/>
          <w:lang w:eastAsia="zh-CN"/>
        </w:rPr>
      </w:pPr>
      <w:r>
        <w:rPr>
          <w:rFonts w:hint="eastAsia" w:ascii="宋体" w:hAnsi="宋体" w:eastAsia="宋体" w:cs="宋体"/>
          <w:b/>
          <w:bCs w:val="0"/>
          <w:sz w:val="24"/>
          <w:highlight w:val="none"/>
          <w:lang w:val="en-US" w:eastAsia="zh-CN"/>
        </w:rPr>
        <w:t>三、技术、服务要求</w:t>
      </w:r>
      <w:r>
        <w:rPr>
          <w:rFonts w:hint="eastAsia" w:ascii="宋体" w:hAnsi="宋体" w:eastAsia="宋体" w:cs="宋体"/>
          <w:b/>
          <w:bCs w:val="0"/>
          <w:sz w:val="24"/>
          <w:highlight w:val="none"/>
        </w:rPr>
        <w:t>：</w:t>
      </w:r>
    </w:p>
    <w:p>
      <w:pPr>
        <w:spacing w:line="360" w:lineRule="auto"/>
        <w:ind w:firstLine="0" w:firstLineChars="0"/>
        <w:rPr>
          <w:rFonts w:hint="eastAsia" w:ascii="宋体" w:hAnsi="宋体" w:eastAsia="宋体" w:cs="宋体"/>
          <w:b w:val="0"/>
          <w:bCs/>
          <w:sz w:val="24"/>
          <w:szCs w:val="24"/>
          <w:lang w:bidi="ar"/>
        </w:rPr>
      </w:pPr>
      <w:r>
        <w:rPr>
          <w:rFonts w:hint="eastAsia" w:ascii="宋体" w:hAnsi="宋体" w:eastAsia="宋体" w:cs="宋体"/>
          <w:b w:val="0"/>
          <w:bCs/>
          <w:sz w:val="24"/>
          <w:szCs w:val="24"/>
          <w:lang w:bidi="ar"/>
        </w:rPr>
        <w:t>1.技术支持要求</w:t>
      </w:r>
    </w:p>
    <w:p>
      <w:pPr>
        <w:spacing w:line="360" w:lineRule="auto"/>
        <w:ind w:firstLine="240" w:firstLineChars="1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 xml:space="preserve">1.1 </w:t>
      </w:r>
      <w:r>
        <w:rPr>
          <w:rFonts w:hint="eastAsia" w:ascii="宋体" w:hAnsi="宋体" w:eastAsia="宋体" w:cs="宋体"/>
          <w:bCs/>
          <w:kern w:val="2"/>
          <w:sz w:val="24"/>
          <w:szCs w:val="24"/>
          <w:lang w:bidi="ar"/>
        </w:rPr>
        <w:t>提供</w:t>
      </w:r>
      <w:r>
        <w:rPr>
          <w:rFonts w:hint="eastAsia" w:ascii="宋体" w:hAnsi="宋体" w:eastAsia="宋体" w:cs="宋体"/>
          <w:bCs/>
          <w:kern w:val="2"/>
          <w:sz w:val="24"/>
          <w:szCs w:val="24"/>
          <w:lang w:val="en-US" w:eastAsia="zh-CN" w:bidi="ar"/>
        </w:rPr>
        <w:t>至少一名</w:t>
      </w:r>
      <w:r>
        <w:rPr>
          <w:rFonts w:hint="eastAsia" w:ascii="宋体" w:hAnsi="宋体" w:eastAsia="宋体" w:cs="宋体"/>
          <w:bCs/>
          <w:kern w:val="2"/>
          <w:sz w:val="24"/>
          <w:szCs w:val="24"/>
          <w:lang w:bidi="ar"/>
        </w:rPr>
        <w:t>服务工程师，对在用软件产品问题及需求收集整理、汇总、解决，并作全程管理。</w:t>
      </w:r>
    </w:p>
    <w:p>
      <w:pPr>
        <w:spacing w:line="360" w:lineRule="auto"/>
        <w:ind w:firstLine="240" w:firstLineChars="100"/>
        <w:rPr>
          <w:rFonts w:hint="eastAsia" w:ascii="宋体" w:hAnsi="宋体" w:eastAsia="宋体" w:cs="宋体"/>
          <w:bCs/>
          <w:kern w:val="2"/>
          <w:sz w:val="24"/>
          <w:szCs w:val="24"/>
          <w:lang w:bidi="ar"/>
        </w:rPr>
      </w:pPr>
      <w:r>
        <w:rPr>
          <w:rFonts w:hint="eastAsia" w:ascii="宋体" w:hAnsi="宋体" w:eastAsia="宋体" w:cs="宋体"/>
          <w:sz w:val="24"/>
          <w:highlight w:val="none"/>
          <w:lang w:val="en-US" w:eastAsia="zh-CN"/>
        </w:rPr>
        <w:t>★</w:t>
      </w:r>
      <w:r>
        <w:rPr>
          <w:rFonts w:hint="eastAsia" w:ascii="宋体" w:hAnsi="宋体" w:eastAsia="宋体" w:cs="宋体"/>
          <w:bCs/>
          <w:kern w:val="2"/>
          <w:sz w:val="24"/>
          <w:szCs w:val="24"/>
          <w:lang w:val="en-US" w:eastAsia="zh-CN" w:bidi="ar"/>
        </w:rPr>
        <w:t xml:space="preserve">1.2 </w:t>
      </w:r>
      <w:r>
        <w:rPr>
          <w:rFonts w:hint="eastAsia" w:ascii="宋体" w:hAnsi="宋体" w:eastAsia="宋体" w:cs="宋体"/>
          <w:bCs/>
          <w:kern w:val="2"/>
          <w:sz w:val="24"/>
          <w:szCs w:val="24"/>
          <w:lang w:bidi="ar"/>
        </w:rPr>
        <w:t>提供每季度一次的</w:t>
      </w:r>
      <w:r>
        <w:rPr>
          <w:rFonts w:hint="eastAsia" w:ascii="宋体" w:hAnsi="宋体" w:eastAsia="宋体" w:cs="宋体"/>
          <w:bCs/>
          <w:kern w:val="2"/>
          <w:sz w:val="24"/>
          <w:szCs w:val="24"/>
          <w:lang w:val="en-US" w:eastAsia="zh-CN" w:bidi="ar"/>
        </w:rPr>
        <w:t>现场</w:t>
      </w:r>
      <w:r>
        <w:rPr>
          <w:rFonts w:hint="eastAsia" w:ascii="宋体" w:hAnsi="宋体" w:eastAsia="宋体" w:cs="宋体"/>
          <w:bCs/>
          <w:kern w:val="2"/>
          <w:sz w:val="24"/>
          <w:szCs w:val="24"/>
          <w:lang w:bidi="ar"/>
        </w:rPr>
        <w:t>巡检服务，提供 7*24 小时技术工程师远程技术支持，通过远程对出现的故障进行诊断、分析、解决。</w:t>
      </w:r>
    </w:p>
    <w:p>
      <w:pPr>
        <w:spacing w:line="360" w:lineRule="auto"/>
        <w:ind w:firstLine="240" w:firstLineChars="1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 xml:space="preserve">1.3 </w:t>
      </w:r>
      <w:r>
        <w:rPr>
          <w:rFonts w:hint="eastAsia" w:ascii="宋体" w:hAnsi="宋体" w:eastAsia="宋体" w:cs="宋体"/>
          <w:bCs/>
          <w:kern w:val="2"/>
          <w:sz w:val="24"/>
          <w:szCs w:val="24"/>
          <w:lang w:bidi="ar"/>
        </w:rPr>
        <w:t>故障通过远程维护不能解决的，维护公司在接到故障信息后根据问题紧急程度按照故障的等级，委派相对应的工程师或团队到达现场处理，分类如下: （A）一级问题:系统灾难性故障——绿码人脸识别系统服务器或应用程序出现故障，导致核心功能（如：闸门无法开闭、人脸无法识别、设备无法开启等）不能正常使用，立即响应 ——2小时内到现场。 （B）二级问题:系统严重故障——绿码人脸识别系统应用程序无法正常操作的情况，响应时间——12小时内响应。（C）三级问题:系统一般故障（除服务器及应用故障外的问题，如系统bug导致使用中出现错误），其他一般性需求，如:一般性的参数、功能调整等，服务工程师最迟3个工作日或与用户协商确定时间。</w:t>
      </w:r>
    </w:p>
    <w:p>
      <w:pPr>
        <w:spacing w:line="360" w:lineRule="auto"/>
        <w:ind w:firstLine="0" w:firstLineChars="0"/>
        <w:rPr>
          <w:rFonts w:hint="eastAsia" w:ascii="宋体" w:hAnsi="宋体" w:eastAsia="宋体" w:cs="宋体"/>
          <w:b w:val="0"/>
          <w:bCs/>
          <w:sz w:val="24"/>
          <w:szCs w:val="24"/>
          <w:lang w:bidi="ar"/>
        </w:rPr>
      </w:pPr>
      <w:r>
        <w:rPr>
          <w:rFonts w:hint="eastAsia" w:ascii="宋体" w:hAnsi="宋体" w:eastAsia="宋体" w:cs="宋体"/>
          <w:b w:val="0"/>
          <w:bCs/>
          <w:sz w:val="24"/>
          <w:szCs w:val="24"/>
          <w:lang w:bidi="ar"/>
        </w:rPr>
        <w:t>2.产品运维服务</w:t>
      </w:r>
    </w:p>
    <w:p>
      <w:pPr>
        <w:spacing w:line="360" w:lineRule="auto"/>
        <w:ind w:firstLine="220" w:firstLineChars="100"/>
        <w:rPr>
          <w:rFonts w:hint="eastAsia" w:ascii="宋体" w:hAnsi="宋体" w:eastAsia="宋体" w:cs="宋体"/>
          <w:bCs/>
          <w:kern w:val="2"/>
          <w:sz w:val="24"/>
          <w:szCs w:val="24"/>
          <w:lang w:bidi="ar"/>
        </w:rPr>
      </w:pPr>
      <w:r>
        <w:rPr>
          <w:rFonts w:hint="eastAsia" w:ascii="仿宋" w:hAnsi="仿宋" w:eastAsia="仿宋" w:cs="仿宋"/>
          <w:sz w:val="22"/>
          <w:szCs w:val="22"/>
          <w:lang w:val="en-US" w:eastAsia="zh-CN"/>
        </w:rPr>
        <w:t>★</w:t>
      </w:r>
      <w:r>
        <w:rPr>
          <w:rFonts w:hint="eastAsia" w:ascii="宋体" w:hAnsi="宋体" w:eastAsia="宋体" w:cs="宋体"/>
          <w:bCs/>
          <w:kern w:val="2"/>
          <w:sz w:val="24"/>
          <w:szCs w:val="24"/>
          <w:lang w:val="en-US" w:eastAsia="zh-CN" w:bidi="ar"/>
        </w:rPr>
        <w:t xml:space="preserve">2.1 </w:t>
      </w:r>
      <w:r>
        <w:rPr>
          <w:rFonts w:hint="eastAsia" w:ascii="宋体" w:hAnsi="宋体" w:eastAsia="宋体" w:cs="宋体"/>
          <w:bCs/>
          <w:kern w:val="2"/>
          <w:sz w:val="24"/>
          <w:szCs w:val="24"/>
          <w:lang w:bidi="ar"/>
        </w:rPr>
        <w:t>提供因产品缺陷导致的程序性错误或数据问题的处理服务;</w:t>
      </w:r>
    </w:p>
    <w:p>
      <w:pPr>
        <w:spacing w:line="360" w:lineRule="auto"/>
        <w:ind w:firstLine="240" w:firstLineChars="1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 xml:space="preserve">2.2 </w:t>
      </w:r>
      <w:r>
        <w:rPr>
          <w:rFonts w:hint="eastAsia" w:ascii="宋体" w:hAnsi="宋体" w:eastAsia="宋体" w:cs="宋体"/>
          <w:bCs/>
          <w:kern w:val="2"/>
          <w:sz w:val="24"/>
          <w:szCs w:val="24"/>
          <w:lang w:bidi="ar"/>
        </w:rPr>
        <w:t xml:space="preserve">提供已在用产品(包含软件产品、接口产品)使用方面问题的相关咨询服务; </w:t>
      </w:r>
    </w:p>
    <w:p>
      <w:pPr>
        <w:spacing w:line="360" w:lineRule="auto"/>
        <w:ind w:firstLine="240" w:firstLineChars="1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 xml:space="preserve">2.3 </w:t>
      </w:r>
      <w:r>
        <w:rPr>
          <w:rFonts w:hint="eastAsia" w:ascii="宋体" w:hAnsi="宋体" w:eastAsia="宋体" w:cs="宋体"/>
          <w:bCs/>
          <w:kern w:val="2"/>
          <w:sz w:val="24"/>
          <w:szCs w:val="24"/>
          <w:lang w:bidi="ar"/>
        </w:rPr>
        <w:t>为医院提供最新的操作手册;</w:t>
      </w:r>
    </w:p>
    <w:p>
      <w:pPr>
        <w:spacing w:line="360" w:lineRule="auto"/>
        <w:ind w:firstLine="240" w:firstLineChars="1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 xml:space="preserve">2.4 </w:t>
      </w:r>
      <w:r>
        <w:rPr>
          <w:rFonts w:hint="eastAsia" w:ascii="宋体" w:hAnsi="宋体" w:eastAsia="宋体" w:cs="宋体"/>
          <w:bCs/>
          <w:kern w:val="2"/>
          <w:sz w:val="24"/>
          <w:szCs w:val="24"/>
          <w:lang w:bidi="ar"/>
        </w:rPr>
        <w:t>提供因操作人员误操作导致的故障处理服务;</w:t>
      </w:r>
    </w:p>
    <w:p>
      <w:pPr>
        <w:spacing w:line="360" w:lineRule="auto"/>
        <w:ind w:firstLine="0" w:firstLineChars="0"/>
        <w:rPr>
          <w:rFonts w:hint="eastAsia" w:ascii="宋体" w:hAnsi="宋体" w:eastAsia="宋体" w:cs="宋体"/>
          <w:b w:val="0"/>
          <w:bCs/>
          <w:sz w:val="24"/>
          <w:szCs w:val="24"/>
          <w:lang w:bidi="ar"/>
        </w:rPr>
      </w:pPr>
      <w:r>
        <w:rPr>
          <w:rFonts w:hint="eastAsia" w:ascii="宋体" w:hAnsi="宋体" w:eastAsia="宋体" w:cs="宋体"/>
          <w:b w:val="0"/>
          <w:bCs/>
          <w:sz w:val="24"/>
          <w:szCs w:val="24"/>
          <w:lang w:bidi="ar"/>
        </w:rPr>
        <w:t>3.软件升级服务</w:t>
      </w:r>
    </w:p>
    <w:p>
      <w:pPr>
        <w:spacing w:line="360" w:lineRule="auto"/>
        <w:ind w:firstLine="220" w:firstLineChars="100"/>
        <w:rPr>
          <w:rFonts w:hint="eastAsia" w:ascii="宋体" w:hAnsi="宋体" w:eastAsia="宋体" w:cs="宋体"/>
          <w:bCs/>
          <w:kern w:val="2"/>
          <w:sz w:val="24"/>
          <w:szCs w:val="24"/>
          <w:lang w:bidi="ar"/>
        </w:rPr>
      </w:pPr>
      <w:r>
        <w:rPr>
          <w:rFonts w:hint="eastAsia" w:ascii="仿宋" w:hAnsi="仿宋" w:eastAsia="仿宋" w:cs="仿宋"/>
          <w:sz w:val="22"/>
          <w:szCs w:val="22"/>
          <w:lang w:val="en-US" w:eastAsia="zh-CN"/>
        </w:rPr>
        <w:t>★</w:t>
      </w:r>
      <w:r>
        <w:rPr>
          <w:rFonts w:hint="eastAsia" w:ascii="宋体" w:hAnsi="宋体" w:eastAsia="宋体" w:cs="宋体"/>
          <w:bCs/>
          <w:kern w:val="2"/>
          <w:sz w:val="24"/>
          <w:szCs w:val="24"/>
          <w:lang w:val="en-US" w:eastAsia="zh-CN" w:bidi="ar"/>
        </w:rPr>
        <w:t xml:space="preserve">3.1 </w:t>
      </w:r>
      <w:r>
        <w:rPr>
          <w:rFonts w:hint="eastAsia" w:ascii="宋体" w:hAnsi="宋体" w:eastAsia="宋体" w:cs="宋体"/>
          <w:bCs/>
          <w:kern w:val="2"/>
          <w:sz w:val="24"/>
          <w:szCs w:val="24"/>
          <w:lang w:bidi="ar"/>
        </w:rPr>
        <w:t xml:space="preserve">提供针对现有产品、接口流程框架，进行错误修正或界面、操作的优化而提供的升级应用程序，保持绿码人脸识别系统（管理平台及相关应用程序）持续更新; </w:t>
      </w:r>
    </w:p>
    <w:p>
      <w:pPr>
        <w:spacing w:line="360" w:lineRule="auto"/>
        <w:ind w:firstLine="240" w:firstLineChars="1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3.2</w:t>
      </w:r>
      <w:r>
        <w:rPr>
          <w:rFonts w:hint="eastAsia" w:ascii="宋体" w:hAnsi="宋体" w:eastAsia="宋体" w:cs="宋体"/>
          <w:bCs/>
          <w:kern w:val="2"/>
          <w:sz w:val="24"/>
          <w:szCs w:val="24"/>
          <w:lang w:bidi="ar"/>
        </w:rPr>
        <w:t>软件升级前，提供详细的软件升级测试服务，并向医院出具升级测试说明;</w:t>
      </w:r>
    </w:p>
    <w:p>
      <w:pPr>
        <w:spacing w:line="360" w:lineRule="auto"/>
        <w:ind w:firstLine="240" w:firstLineChars="1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3.3</w:t>
      </w:r>
      <w:r>
        <w:rPr>
          <w:rFonts w:hint="eastAsia" w:ascii="宋体" w:hAnsi="宋体" w:eastAsia="宋体" w:cs="宋体"/>
          <w:bCs/>
          <w:kern w:val="2"/>
          <w:sz w:val="24"/>
          <w:szCs w:val="24"/>
          <w:lang w:bidi="ar"/>
        </w:rPr>
        <w:t>升级后系统 BUG 处理及稳定运行需要的人员安排。</w:t>
      </w:r>
    </w:p>
    <w:p>
      <w:pPr>
        <w:spacing w:line="360" w:lineRule="auto"/>
        <w:rPr>
          <w:rFonts w:hint="eastAsia" w:ascii="宋体" w:hAnsi="宋体" w:eastAsia="宋体" w:cs="宋体"/>
          <w:bCs/>
          <w:kern w:val="2"/>
          <w:sz w:val="24"/>
          <w:szCs w:val="24"/>
          <w:lang w:bidi="ar"/>
        </w:rPr>
      </w:pPr>
      <w:r>
        <w:rPr>
          <w:rFonts w:hint="eastAsia" w:ascii="宋体" w:hAnsi="宋体" w:eastAsia="宋体" w:cs="宋体"/>
          <w:color w:val="FF0000"/>
          <w:sz w:val="24"/>
          <w:highlight w:val="none"/>
        </w:rPr>
        <w:t>*</w:t>
      </w:r>
      <w:r>
        <w:rPr>
          <w:rFonts w:hint="eastAsia" w:ascii="宋体" w:hAnsi="宋体" w:eastAsia="宋体" w:cs="宋体"/>
          <w:b w:val="0"/>
          <w:bCs/>
          <w:sz w:val="24"/>
          <w:szCs w:val="24"/>
          <w:lang w:bidi="ar"/>
        </w:rPr>
        <w:t>4.硬件维保服务</w:t>
      </w:r>
      <w:r>
        <w:rPr>
          <w:rFonts w:hint="eastAsia" w:ascii="宋体" w:hAnsi="宋体" w:eastAsia="宋体" w:cs="宋体"/>
          <w:b w:val="0"/>
          <w:bCs/>
          <w:sz w:val="24"/>
          <w:szCs w:val="24"/>
          <w:lang w:eastAsia="zh-CN" w:bidi="ar"/>
        </w:rPr>
        <w:t>：</w:t>
      </w:r>
      <w:r>
        <w:rPr>
          <w:rFonts w:hint="eastAsia" w:ascii="宋体" w:hAnsi="宋体" w:eastAsia="宋体" w:cs="宋体"/>
          <w:bCs/>
          <w:kern w:val="2"/>
          <w:sz w:val="24"/>
          <w:szCs w:val="24"/>
          <w:lang w:bidi="ar"/>
        </w:rPr>
        <w:t>绿码人脸识别系统整体所有部件及设备，若硬件发生故障（含人为及非人为原因导致的故障），进行免费硬件维修或换新服务，保障绿码人脸识别系统运行正常。</w:t>
      </w:r>
    </w:p>
    <w:p>
      <w:pPr>
        <w:spacing w:line="360" w:lineRule="auto"/>
        <w:rPr>
          <w:rFonts w:hint="eastAsia" w:ascii="宋体" w:hAnsi="宋体" w:eastAsia="宋体" w:cs="宋体"/>
          <w:bCs/>
          <w:kern w:val="2"/>
          <w:sz w:val="24"/>
          <w:szCs w:val="24"/>
          <w:lang w:bidi="ar"/>
        </w:rPr>
      </w:pPr>
      <w:r>
        <w:rPr>
          <w:rFonts w:hint="eastAsia" w:ascii="宋体" w:hAnsi="宋体" w:eastAsia="宋体" w:cs="宋体"/>
          <w:b w:val="0"/>
          <w:bCs/>
          <w:sz w:val="24"/>
          <w:szCs w:val="24"/>
          <w:lang w:bidi="ar"/>
        </w:rPr>
        <w:t>5.信息通报服务</w:t>
      </w:r>
      <w:r>
        <w:rPr>
          <w:rFonts w:hint="eastAsia" w:ascii="宋体" w:hAnsi="宋体" w:eastAsia="宋体" w:cs="宋体"/>
          <w:b w:val="0"/>
          <w:bCs/>
          <w:sz w:val="24"/>
          <w:szCs w:val="24"/>
          <w:lang w:eastAsia="zh-CN" w:bidi="ar"/>
        </w:rPr>
        <w:t>：</w:t>
      </w:r>
      <w:r>
        <w:rPr>
          <w:rFonts w:hint="eastAsia" w:ascii="宋体" w:hAnsi="宋体" w:eastAsia="宋体" w:cs="宋体"/>
          <w:bCs/>
          <w:kern w:val="2"/>
          <w:sz w:val="24"/>
          <w:szCs w:val="24"/>
          <w:lang w:bidi="ar"/>
        </w:rPr>
        <w:t>由于政策性需求，需要对现有系统进行调整改造的，及时向医院进行通报。</w:t>
      </w:r>
    </w:p>
    <w:p>
      <w:pPr>
        <w:spacing w:line="360" w:lineRule="auto"/>
        <w:rPr>
          <w:rFonts w:hint="eastAsia" w:ascii="宋体" w:hAnsi="宋体" w:eastAsia="宋体" w:cs="宋体"/>
          <w:bCs/>
          <w:kern w:val="2"/>
          <w:sz w:val="24"/>
          <w:szCs w:val="24"/>
          <w:lang w:bidi="ar"/>
        </w:rPr>
      </w:pPr>
      <w:r>
        <w:rPr>
          <w:rFonts w:hint="eastAsia" w:ascii="宋体" w:hAnsi="宋体" w:eastAsia="宋体" w:cs="宋体"/>
          <w:b w:val="0"/>
          <w:bCs/>
          <w:sz w:val="24"/>
          <w:szCs w:val="24"/>
          <w:lang w:bidi="ar"/>
        </w:rPr>
        <w:t>6.管理咨询支持服务</w:t>
      </w:r>
      <w:r>
        <w:rPr>
          <w:rFonts w:hint="eastAsia" w:ascii="宋体" w:hAnsi="宋体" w:eastAsia="宋体" w:cs="宋体"/>
          <w:b w:val="0"/>
          <w:bCs/>
          <w:sz w:val="24"/>
          <w:szCs w:val="24"/>
          <w:lang w:eastAsia="zh-CN" w:bidi="ar"/>
        </w:rPr>
        <w:t>：</w:t>
      </w:r>
      <w:r>
        <w:rPr>
          <w:rFonts w:hint="eastAsia" w:ascii="宋体" w:hAnsi="宋体" w:eastAsia="宋体" w:cs="宋体"/>
          <w:bCs/>
          <w:kern w:val="2"/>
          <w:sz w:val="24"/>
          <w:szCs w:val="24"/>
          <w:lang w:bidi="ar"/>
        </w:rPr>
        <w:t>针对互联互通评测、互联互通评测、电子病历应用水平评级、医院智慧服务分级评级、医院智慧管理分级评级、四川省智慧医院评级提供支持，包括对评审进行分析解读、对相关部门进行培训、院内自评支持、实验室测评支持、已有业务系统改造支持、证明材料协助整理、评审材料协助整理、正式测评陪同及技术答疑。</w:t>
      </w:r>
    </w:p>
    <w:p>
      <w:pPr>
        <w:spacing w:line="360" w:lineRule="auto"/>
        <w:rPr>
          <w:rFonts w:hint="eastAsia" w:ascii="宋体" w:hAnsi="宋体" w:eastAsia="宋体" w:cs="宋体"/>
          <w:b w:val="0"/>
          <w:bCs/>
          <w:sz w:val="24"/>
          <w:szCs w:val="24"/>
          <w:lang w:bidi="ar"/>
        </w:rPr>
      </w:pPr>
      <w:r>
        <w:rPr>
          <w:rFonts w:hint="eastAsia" w:ascii="宋体" w:hAnsi="宋体" w:eastAsia="宋体" w:cs="宋体"/>
          <w:b w:val="0"/>
          <w:bCs/>
          <w:sz w:val="24"/>
          <w:szCs w:val="24"/>
          <w:lang w:bidi="ar"/>
        </w:rPr>
        <w:t>7</w:t>
      </w:r>
      <w:r>
        <w:rPr>
          <w:rFonts w:hint="eastAsia" w:ascii="宋体" w:hAnsi="宋体" w:eastAsia="宋体" w:cs="宋体"/>
          <w:b w:val="0"/>
          <w:bCs/>
          <w:sz w:val="24"/>
          <w:szCs w:val="24"/>
          <w:lang w:val="en-US" w:eastAsia="zh-CN" w:bidi="ar"/>
        </w:rPr>
        <w:t>.</w:t>
      </w:r>
      <w:r>
        <w:rPr>
          <w:rFonts w:hint="eastAsia" w:ascii="宋体" w:hAnsi="宋体" w:eastAsia="宋体" w:cs="宋体"/>
          <w:b w:val="0"/>
          <w:bCs/>
          <w:sz w:val="24"/>
          <w:szCs w:val="24"/>
          <w:lang w:bidi="ar"/>
        </w:rPr>
        <w:t>服务过程监督</w:t>
      </w:r>
    </w:p>
    <w:p>
      <w:pPr>
        <w:spacing w:line="360" w:lineRule="auto"/>
        <w:ind w:firstLine="240" w:firstLineChars="1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 xml:space="preserve">7.1 </w:t>
      </w:r>
      <w:r>
        <w:rPr>
          <w:rFonts w:hint="eastAsia" w:ascii="宋体" w:hAnsi="宋体" w:eastAsia="宋体" w:cs="宋体"/>
          <w:bCs/>
          <w:kern w:val="2"/>
          <w:sz w:val="24"/>
          <w:szCs w:val="24"/>
          <w:lang w:bidi="ar"/>
        </w:rPr>
        <w:t>提供服务工作简报，工程师每次进行巡检、故障处理、配件更换等服务期间，提供工作简报并经采购人信息技术科确认签字。</w:t>
      </w:r>
    </w:p>
    <w:p>
      <w:pPr>
        <w:spacing w:line="360" w:lineRule="auto"/>
        <w:ind w:firstLine="240" w:firstLineChars="1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 xml:space="preserve">7.2 </w:t>
      </w:r>
      <w:r>
        <w:rPr>
          <w:rFonts w:hint="eastAsia" w:ascii="宋体" w:hAnsi="宋体" w:eastAsia="宋体" w:cs="宋体"/>
          <w:bCs/>
          <w:kern w:val="2"/>
          <w:sz w:val="24"/>
          <w:szCs w:val="24"/>
          <w:lang w:bidi="ar"/>
        </w:rPr>
        <w:t>总结报告服务，提供指定期限内的售后服务总结报告（总结内容要求以医院要求为准）并提交信息技术科。</w:t>
      </w:r>
    </w:p>
    <w:p>
      <w:pPr>
        <w:pStyle w:val="3"/>
        <w:rPr>
          <w:rFonts w:hint="eastAsia" w:ascii="宋体" w:hAnsi="宋体" w:eastAsia="宋体" w:cs="宋体"/>
          <w:b/>
          <w:sz w:val="24"/>
          <w:highlight w:val="none"/>
          <w:lang w:val="en-US" w:eastAsia="zh-CN"/>
        </w:rPr>
      </w:pPr>
    </w:p>
    <w:p>
      <w:pPr>
        <w:spacing w:line="360" w:lineRule="auto"/>
        <w:ind w:left="0" w:leftChars="0" w:firstLine="0" w:firstLineChars="0"/>
        <w:rPr>
          <w:rFonts w:hint="eastAsia" w:ascii="宋体" w:hAnsi="宋体" w:eastAsia="宋体" w:cs="宋体"/>
          <w:bCs/>
          <w:sz w:val="24"/>
          <w:szCs w:val="24"/>
          <w:lang w:bidi="ar"/>
        </w:rPr>
      </w:pPr>
    </w:p>
    <w:p>
      <w:pPr>
        <w:spacing w:line="360" w:lineRule="auto"/>
        <w:jc w:val="left"/>
        <w:rPr>
          <w:rFonts w:hint="eastAsia" w:ascii="华文中宋" w:hAnsi="华文中宋" w:eastAsia="华文中宋"/>
          <w:b/>
          <w:sz w:val="32"/>
        </w:rPr>
      </w:pPr>
    </w:p>
    <w:p>
      <w:pPr>
        <w:spacing w:line="360" w:lineRule="auto"/>
        <w:jc w:val="left"/>
        <w:rPr>
          <w:rFonts w:hint="eastAsia" w:ascii="华文中宋" w:hAnsi="华文中宋" w:eastAsia="华文中宋"/>
          <w:b/>
          <w:sz w:val="32"/>
        </w:rPr>
      </w:pPr>
      <w:bookmarkStart w:id="2" w:name="_GoBack"/>
      <w:bookmarkEnd w:id="2"/>
    </w:p>
    <w:p>
      <w:pPr>
        <w:pStyle w:val="3"/>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10"/>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6CF501"/>
    <w:multiLevelType w:val="singleLevel"/>
    <w:tmpl w:val="626CF50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002E"/>
    <w:rsid w:val="003228B1"/>
    <w:rsid w:val="00347EC8"/>
    <w:rsid w:val="003A70FA"/>
    <w:rsid w:val="003C4A89"/>
    <w:rsid w:val="003E7865"/>
    <w:rsid w:val="003F606A"/>
    <w:rsid w:val="00403BD4"/>
    <w:rsid w:val="004228CC"/>
    <w:rsid w:val="00430CEE"/>
    <w:rsid w:val="0047555D"/>
    <w:rsid w:val="004867FA"/>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EE0DCD"/>
    <w:rsid w:val="01F030C7"/>
    <w:rsid w:val="02554973"/>
    <w:rsid w:val="03AB68A6"/>
    <w:rsid w:val="064A73D7"/>
    <w:rsid w:val="099019C9"/>
    <w:rsid w:val="0A656ED5"/>
    <w:rsid w:val="0AF0035A"/>
    <w:rsid w:val="0BB13282"/>
    <w:rsid w:val="0BEF4460"/>
    <w:rsid w:val="0DB40D5F"/>
    <w:rsid w:val="0DC61272"/>
    <w:rsid w:val="17EE2139"/>
    <w:rsid w:val="1C3B161D"/>
    <w:rsid w:val="1C985A0D"/>
    <w:rsid w:val="1F2931B0"/>
    <w:rsid w:val="1FAA15A2"/>
    <w:rsid w:val="1FCC3FCA"/>
    <w:rsid w:val="2B796EBE"/>
    <w:rsid w:val="2BDE3F9A"/>
    <w:rsid w:val="2F4F7075"/>
    <w:rsid w:val="300817D1"/>
    <w:rsid w:val="332B5D3D"/>
    <w:rsid w:val="38520016"/>
    <w:rsid w:val="39CD30F1"/>
    <w:rsid w:val="3A2F783B"/>
    <w:rsid w:val="3CF74DB5"/>
    <w:rsid w:val="3D5529A7"/>
    <w:rsid w:val="3D952B8E"/>
    <w:rsid w:val="3DBC3894"/>
    <w:rsid w:val="3E091A7C"/>
    <w:rsid w:val="3E960D7F"/>
    <w:rsid w:val="420266F3"/>
    <w:rsid w:val="44C71D66"/>
    <w:rsid w:val="468C48C7"/>
    <w:rsid w:val="48CE7A28"/>
    <w:rsid w:val="4962387D"/>
    <w:rsid w:val="4BBE6CC9"/>
    <w:rsid w:val="5074152A"/>
    <w:rsid w:val="57CC719B"/>
    <w:rsid w:val="580746F5"/>
    <w:rsid w:val="5A00477A"/>
    <w:rsid w:val="5AE24E6C"/>
    <w:rsid w:val="5E9952E6"/>
    <w:rsid w:val="627D77E8"/>
    <w:rsid w:val="6333473F"/>
    <w:rsid w:val="665D35CE"/>
    <w:rsid w:val="68E44837"/>
    <w:rsid w:val="69790883"/>
    <w:rsid w:val="69EC3485"/>
    <w:rsid w:val="6A7A7481"/>
    <w:rsid w:val="6BC33991"/>
    <w:rsid w:val="707B4486"/>
    <w:rsid w:val="73535799"/>
    <w:rsid w:val="73F41F8C"/>
    <w:rsid w:val="74324BCE"/>
    <w:rsid w:val="76EC06B7"/>
    <w:rsid w:val="76F61765"/>
    <w:rsid w:val="7CC50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link w:val="23"/>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3"/>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Body Text"/>
    <w:basedOn w:val="1"/>
    <w:next w:val="1"/>
    <w:semiHidden/>
    <w:unhideWhenUsed/>
    <w:qFormat/>
    <w:uiPriority w:val="0"/>
    <w:pPr>
      <w:spacing w:after="120"/>
    </w:pPr>
  </w:style>
  <w:style w:type="paragraph" w:styleId="5">
    <w:name w:val="Normal Indent"/>
    <w:basedOn w:val="1"/>
    <w:qFormat/>
    <w:uiPriority w:val="0"/>
    <w:pPr>
      <w:ind w:firstLine="200" w:firstLineChars="200"/>
    </w:pPr>
  </w:style>
  <w:style w:type="paragraph" w:styleId="6">
    <w:name w:val="annotation text"/>
    <w:basedOn w:val="1"/>
    <w:semiHidden/>
    <w:unhideWhenUsed/>
    <w:qFormat/>
    <w:uiPriority w:val="99"/>
    <w:pPr>
      <w:jc w:val="left"/>
    </w:pPr>
  </w:style>
  <w:style w:type="paragraph" w:styleId="7">
    <w:name w:val="Date"/>
    <w:basedOn w:val="1"/>
    <w:next w:val="1"/>
    <w:link w:val="26"/>
    <w:semiHidden/>
    <w:unhideWhenUsed/>
    <w:qFormat/>
    <w:uiPriority w:val="99"/>
    <w:pPr>
      <w:ind w:left="100" w:leftChars="2500"/>
    </w:pPr>
  </w:style>
  <w:style w:type="paragraph" w:styleId="8">
    <w:name w:val="endnote text"/>
    <w:basedOn w:val="1"/>
    <w:qFormat/>
    <w:uiPriority w:val="0"/>
    <w:pPr>
      <w:snapToGrid w:val="0"/>
      <w:jc w:val="left"/>
    </w:pPr>
  </w:style>
  <w:style w:type="paragraph" w:styleId="9">
    <w:name w:val="Balloon Text"/>
    <w:basedOn w:val="1"/>
    <w:link w:val="27"/>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toc 1"/>
    <w:basedOn w:val="1"/>
    <w:next w:val="1"/>
    <w:qFormat/>
    <w:uiPriority w:val="39"/>
    <w:pPr>
      <w:spacing w:after="160" w:line="259" w:lineRule="auto"/>
    </w:pPr>
    <w:rPr>
      <w:rFonts w:ascii="Calibri" w:hAnsi="Calibri" w:eastAsia="宋体" w:cs="Times New Roman"/>
      <w:szCs w:val="24"/>
    </w:rPr>
  </w:style>
  <w:style w:type="paragraph" w:styleId="12">
    <w:name w:val="Normal (Web)"/>
    <w:basedOn w:val="1"/>
    <w:next w:val="8"/>
    <w:qFormat/>
    <w:uiPriority w:val="0"/>
    <w:pPr>
      <w:widowControl/>
      <w:spacing w:before="100" w:beforeAutospacing="1" w:after="100" w:afterAutospacing="1"/>
      <w:jc w:val="left"/>
    </w:pPr>
    <w:rPr>
      <w:rFonts w:ascii="宋体" w:hAnsi="宋体"/>
      <w:kern w:val="0"/>
      <w:sz w:val="18"/>
      <w:szCs w:val="18"/>
    </w:rPr>
  </w:style>
  <w:style w:type="table" w:styleId="14">
    <w:name w:val="Table Grid"/>
    <w:basedOn w:val="1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6">
    <w:name w:val="page number"/>
    <w:qFormat/>
    <w:uiPriority w:val="0"/>
  </w:style>
  <w:style w:type="character" w:styleId="17">
    <w:name w:val="Hyperlink"/>
    <w:basedOn w:val="15"/>
    <w:unhideWhenUsed/>
    <w:qFormat/>
    <w:uiPriority w:val="99"/>
    <w:rPr>
      <w:color w:val="0000FF" w:themeColor="hyperlink"/>
      <w:u w:val="single"/>
    </w:rPr>
  </w:style>
  <w:style w:type="character" w:styleId="18">
    <w:name w:val="annotation reference"/>
    <w:basedOn w:val="15"/>
    <w:semiHidden/>
    <w:unhideWhenUsed/>
    <w:qFormat/>
    <w:uiPriority w:val="99"/>
    <w:rPr>
      <w:sz w:val="21"/>
      <w:szCs w:val="21"/>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页眉 Char"/>
    <w:basedOn w:val="15"/>
    <w:link w:val="2"/>
    <w:qFormat/>
    <w:uiPriority w:val="99"/>
    <w:rPr>
      <w:sz w:val="18"/>
      <w:szCs w:val="18"/>
    </w:rPr>
  </w:style>
  <w:style w:type="character" w:customStyle="1" w:styleId="21">
    <w:name w:val="页脚 Char"/>
    <w:basedOn w:val="15"/>
    <w:link w:val="10"/>
    <w:qFormat/>
    <w:uiPriority w:val="99"/>
    <w:rPr>
      <w:sz w:val="18"/>
      <w:szCs w:val="18"/>
    </w:rPr>
  </w:style>
  <w:style w:type="paragraph" w:styleId="22">
    <w:name w:val="List Paragraph"/>
    <w:basedOn w:val="1"/>
    <w:qFormat/>
    <w:uiPriority w:val="34"/>
    <w:pPr>
      <w:ind w:firstLine="420" w:firstLineChars="200"/>
    </w:pPr>
  </w:style>
  <w:style w:type="character" w:customStyle="1" w:styleId="23">
    <w:name w:val="标题 2 Char"/>
    <w:basedOn w:val="15"/>
    <w:link w:val="4"/>
    <w:qFormat/>
    <w:uiPriority w:val="9"/>
    <w:rPr>
      <w:rFonts w:ascii="Arial" w:hAnsi="Arial" w:eastAsia="黑体" w:cs="Times New Roman"/>
      <w:b/>
      <w:bCs/>
      <w:sz w:val="32"/>
      <w:szCs w:val="32"/>
    </w:rPr>
  </w:style>
  <w:style w:type="character" w:customStyle="1" w:styleId="24">
    <w:name w:val="列出段落 Char"/>
    <w:link w:val="25"/>
    <w:qFormat/>
    <w:uiPriority w:val="34"/>
    <w:rPr>
      <w:rFonts w:ascii="宋体" w:hAnsi="宋体" w:cs="宋体"/>
      <w:sz w:val="24"/>
      <w:szCs w:val="24"/>
    </w:rPr>
  </w:style>
  <w:style w:type="paragraph" w:customStyle="1" w:styleId="25">
    <w:name w:val="列出段落1"/>
    <w:basedOn w:val="1"/>
    <w:link w:val="24"/>
    <w:qFormat/>
    <w:uiPriority w:val="34"/>
    <w:pPr>
      <w:widowControl/>
      <w:ind w:firstLine="420" w:firstLineChars="200"/>
      <w:jc w:val="left"/>
    </w:pPr>
    <w:rPr>
      <w:rFonts w:ascii="宋体" w:hAnsi="宋体" w:cs="宋体"/>
      <w:sz w:val="24"/>
      <w:szCs w:val="24"/>
    </w:rPr>
  </w:style>
  <w:style w:type="character" w:customStyle="1" w:styleId="26">
    <w:name w:val="日期 Char"/>
    <w:basedOn w:val="15"/>
    <w:link w:val="7"/>
    <w:semiHidden/>
    <w:qFormat/>
    <w:uiPriority w:val="99"/>
  </w:style>
  <w:style w:type="character" w:customStyle="1" w:styleId="27">
    <w:name w:val="批注框文本 Char"/>
    <w:basedOn w:val="15"/>
    <w:link w:val="9"/>
    <w:semiHidden/>
    <w:qFormat/>
    <w:uiPriority w:val="99"/>
    <w:rPr>
      <w:sz w:val="18"/>
      <w:szCs w:val="18"/>
    </w:rPr>
  </w:style>
  <w:style w:type="character" w:customStyle="1" w:styleId="28">
    <w:name w:val="font01"/>
    <w:basedOn w:val="15"/>
    <w:qFormat/>
    <w:uiPriority w:val="0"/>
    <w:rPr>
      <w:rFonts w:hint="eastAsia" w:ascii="宋体" w:hAnsi="宋体" w:eastAsia="宋体" w:cs="宋体"/>
      <w:color w:val="000000"/>
      <w:sz w:val="22"/>
      <w:szCs w:val="22"/>
      <w:u w:val="none"/>
    </w:rPr>
  </w:style>
  <w:style w:type="paragraph" w:customStyle="1" w:styleId="29">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4525</Words>
  <Characters>4713</Characters>
  <Lines>14</Lines>
  <Paragraphs>4</Paragraphs>
  <TotalTime>18</TotalTime>
  <ScaleCrop>false</ScaleCrop>
  <LinksUpToDate>false</LinksUpToDate>
  <CharactersWithSpaces>4833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2023-06-20T07:35:00Z</cp:lastPrinted>
  <dcterms:modified xsi:type="dcterms:W3CDTF">2023-07-03T10:00:30Z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EC3FD689C5D342D799BD160DC760BFDB</vt:lpwstr>
  </property>
</Properties>
</file>