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华文中宋" w:cs="Times New Roman"/>
          <w:b/>
          <w:sz w:val="32"/>
          <w:szCs w:val="22"/>
        </w:rPr>
      </w:pPr>
      <w:bookmarkStart w:id="0" w:name="_Hlt101843627"/>
      <w:bookmarkEnd w:id="0"/>
      <w:bookmarkStart w:id="1" w:name="_Hlt101233737"/>
      <w:bookmarkEnd w:id="1"/>
      <w:r>
        <w:rPr>
          <w:rFonts w:hint="default" w:ascii="Times New Roman" w:hAnsi="Times New Roman" w:eastAsia="华文中宋" w:cs="Times New Roman"/>
          <w:b/>
          <w:sz w:val="32"/>
          <w:lang w:val="en-US" w:eastAsia="zh-CN"/>
        </w:rPr>
        <w:t>附件</w:t>
      </w:r>
      <w:r>
        <w:rPr>
          <w:rFonts w:hint="eastAsia" w:ascii="Times New Roman" w:hAnsi="Times New Roman" w:eastAsia="华文中宋" w:cs="Times New Roman"/>
          <w:b/>
          <w:sz w:val="32"/>
          <w:lang w:val="en-US" w:eastAsia="zh-CN"/>
        </w:rPr>
        <w:t>3</w:t>
      </w:r>
      <w:r>
        <w:rPr>
          <w:rFonts w:hint="default" w:ascii="Times New Roman" w:hAnsi="Times New Roman" w:eastAsia="华文中宋" w:cs="Times New Roman"/>
          <w:b/>
          <w:sz w:val="32"/>
          <w:lang w:val="en-US" w:eastAsia="zh-CN"/>
        </w:rPr>
        <w:t>：</w:t>
      </w:r>
      <w:r>
        <w:rPr>
          <w:rFonts w:hint="default" w:ascii="Times New Roman" w:hAnsi="Times New Roman" w:eastAsia="华文中宋" w:cs="Times New Roman"/>
          <w:b/>
          <w:sz w:val="32"/>
          <w:szCs w:val="22"/>
        </w:rPr>
        <w:t>综合评分明细表</w:t>
      </w:r>
    </w:p>
    <w:tbl>
      <w:tblPr>
        <w:tblStyle w:val="16"/>
        <w:tblW w:w="570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090"/>
        <w:gridCol w:w="687"/>
        <w:gridCol w:w="5224"/>
        <w:gridCol w:w="20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8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序号</w:t>
            </w:r>
          </w:p>
        </w:tc>
        <w:tc>
          <w:tcPr>
            <w:tcW w:w="56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8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评分因素</w:t>
            </w:r>
          </w:p>
        </w:tc>
        <w:tc>
          <w:tcPr>
            <w:tcW w:w="35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8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分值</w:t>
            </w:r>
          </w:p>
        </w:tc>
        <w:tc>
          <w:tcPr>
            <w:tcW w:w="26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8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评分标准</w:t>
            </w:r>
          </w:p>
        </w:tc>
        <w:tc>
          <w:tcPr>
            <w:tcW w:w="1068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8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35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56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8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报价</w:t>
            </w:r>
          </w:p>
        </w:tc>
        <w:tc>
          <w:tcPr>
            <w:tcW w:w="35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30</w:t>
            </w:r>
            <w:r>
              <w:rPr>
                <w:rFonts w:ascii="宋体" w:hAnsi="宋体"/>
              </w:rPr>
              <w:t>分</w:t>
            </w:r>
          </w:p>
        </w:tc>
        <w:tc>
          <w:tcPr>
            <w:tcW w:w="26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spacing w:line="300" w:lineRule="exac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以本次最低有效投标报价为基准价，投标报价得分=(基准价／投标报价)×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30</w:t>
            </w:r>
          </w:p>
        </w:tc>
        <w:tc>
          <w:tcPr>
            <w:tcW w:w="1068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（共同评分因素）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35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56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技术指标和配置</w:t>
            </w:r>
          </w:p>
        </w:tc>
        <w:tc>
          <w:tcPr>
            <w:tcW w:w="35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36</w:t>
            </w:r>
            <w:r>
              <w:rPr>
                <w:rFonts w:ascii="宋体" w:hAnsi="宋体"/>
              </w:rPr>
              <w:t>分</w:t>
            </w:r>
          </w:p>
        </w:tc>
        <w:tc>
          <w:tcPr>
            <w:tcW w:w="26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0"/>
              </w:numPr>
              <w:autoSpaceDN/>
              <w:spacing w:line="3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投标人针对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szCs w:val="21"/>
              </w:rPr>
              <w:t>文件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中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技术服务要求</w:t>
            </w:r>
            <w:r>
              <w:rPr>
                <w:rFonts w:hint="eastAsia" w:ascii="宋体" w:hAnsi="宋体" w:eastAsia="宋体" w:cs="宋体"/>
                <w:szCs w:val="21"/>
              </w:rPr>
              <w:t>的一般技术参数条款的响应得分规则如下：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般技术参数条款响应得分=（投标人满足一般技术参数条款的数量÷一般技术参数条款的总数量）×3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分。（共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87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条，保留至小数点后2位）</w:t>
            </w:r>
          </w:p>
          <w:p>
            <w:pPr>
              <w:autoSpaceDN w:val="0"/>
              <w:spacing w:line="30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注：</w:t>
            </w:r>
          </w:p>
          <w:p>
            <w:pPr>
              <w:autoSpaceDN w:val="0"/>
              <w:spacing w:line="30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①针对一般条款的技术响应，如果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szCs w:val="21"/>
              </w:rPr>
              <w:t>文件“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highlight w:val="none"/>
                <w:lang w:val="en-US" w:eastAsia="zh-CN"/>
              </w:rPr>
              <w:t>技术服务要求</w:t>
            </w:r>
            <w:r>
              <w:rPr>
                <w:rFonts w:hint="eastAsia" w:ascii="宋体" w:hAnsi="宋体" w:eastAsia="宋体" w:cs="宋体"/>
                <w:szCs w:val="21"/>
              </w:rPr>
              <w:t>”中技术参数条款对技术支撑材料有要求，应按要求提供，否则对应技术参数条款将视为不满足。</w:t>
            </w:r>
          </w:p>
          <w:p>
            <w:pPr>
              <w:autoSpaceDN w:val="0"/>
              <w:spacing w:line="30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②</w:t>
            </w:r>
            <w:r>
              <w:rPr>
                <w:rFonts w:hint="eastAsia" w:ascii="宋体" w:hAnsi="宋体" w:eastAsia="宋体" w:cs="宋体"/>
                <w:szCs w:val="21"/>
              </w:rPr>
              <w:t>评分小数点保留两位数</w:t>
            </w:r>
          </w:p>
        </w:tc>
        <w:tc>
          <w:tcPr>
            <w:tcW w:w="1068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投标人</w:t>
            </w:r>
            <w:r>
              <w:rPr>
                <w:rFonts w:ascii="宋体" w:hAnsi="宋体"/>
              </w:rPr>
              <w:t>须认真核实所有技术支持资料，并对其在响应文件中提供的技术支持资料的真实性负责，并承担由此带来的一切法律责任和后果。</w:t>
            </w:r>
          </w:p>
          <w:p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（技术类评分因素）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35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</w:t>
            </w:r>
          </w:p>
        </w:tc>
        <w:tc>
          <w:tcPr>
            <w:tcW w:w="56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业绩</w:t>
            </w:r>
          </w:p>
        </w:tc>
        <w:tc>
          <w:tcPr>
            <w:tcW w:w="35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5</w:t>
            </w:r>
            <w:r>
              <w:rPr>
                <w:rFonts w:ascii="宋体" w:hAnsi="宋体"/>
              </w:rPr>
              <w:t>分</w:t>
            </w:r>
          </w:p>
        </w:tc>
        <w:tc>
          <w:tcPr>
            <w:tcW w:w="26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spacing w:line="30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供应商自2019年1月1日至今每有一个类似案例得1分，最多得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Cs w:val="21"/>
              </w:rPr>
              <w:t>分。</w:t>
            </w:r>
          </w:p>
          <w:p>
            <w:pPr>
              <w:autoSpaceDN w:val="0"/>
              <w:spacing w:line="300" w:lineRule="exac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类似案例是指:三级及以上等保测评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投标人</w:t>
            </w:r>
            <w:r>
              <w:rPr>
                <w:rFonts w:hint="eastAsia" w:ascii="宋体" w:hAnsi="宋体" w:eastAsiaTheme="minorEastAsia"/>
                <w:szCs w:val="22"/>
              </w:rPr>
              <w:t>需提供合同复印件或中标通知书复印件加盖供应商公章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1068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spacing w:line="3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2"/>
                <w:lang w:eastAsia="zh-CN"/>
              </w:rPr>
              <w:t>（</w:t>
            </w:r>
            <w:r>
              <w:rPr>
                <w:rFonts w:ascii="宋体" w:hAnsi="宋体"/>
              </w:rPr>
              <w:t>共同评分因素）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35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</w:t>
            </w:r>
          </w:p>
        </w:tc>
        <w:tc>
          <w:tcPr>
            <w:tcW w:w="56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履约能力</w:t>
            </w:r>
          </w:p>
        </w:tc>
        <w:tc>
          <w:tcPr>
            <w:tcW w:w="35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7</w:t>
            </w:r>
            <w:r>
              <w:rPr>
                <w:rFonts w:ascii="宋体" w:hAnsi="宋体"/>
              </w:rPr>
              <w:t>分</w:t>
            </w:r>
          </w:p>
        </w:tc>
        <w:tc>
          <w:tcPr>
            <w:tcW w:w="26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供应商为本项目配置人员满足：项目负责人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 人，总测评师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1人，测评师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≥1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  <w:p>
            <w:pPr>
              <w:autoSpaceDN/>
              <w:spacing w:line="30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①现场项目负责人同时具有等级保护测评师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高级</w:t>
            </w:r>
            <w:r>
              <w:rPr>
                <w:rFonts w:hint="eastAsia" w:ascii="宋体" w:hAnsi="宋体" w:eastAsia="宋体" w:cs="宋体"/>
                <w:szCs w:val="21"/>
              </w:rPr>
              <w:t>证书、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信息安全保障人员（</w:t>
            </w:r>
            <w:r>
              <w:rPr>
                <w:rFonts w:hint="eastAsia" w:ascii="宋体" w:hAnsi="宋体" w:eastAsia="宋体" w:cs="宋体"/>
                <w:szCs w:val="21"/>
              </w:rPr>
              <w:t>CISAW）证书、注册信息安全专业人员证书（CISP），每提供一个得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>分，全部满足得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>分；(提供证书复印件并加盖供应商公章)</w:t>
            </w:r>
          </w:p>
          <w:p>
            <w:pPr>
              <w:autoSpaceDN/>
              <w:spacing w:line="30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②</w:t>
            </w:r>
            <w:r>
              <w:rPr>
                <w:rFonts w:hint="eastAsia" w:ascii="宋体" w:hAnsi="宋体" w:eastAsia="宋体" w:cs="宋体"/>
                <w:szCs w:val="21"/>
              </w:rPr>
              <w:t>派驻本项目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总测评师</w:t>
            </w:r>
            <w:r>
              <w:rPr>
                <w:rFonts w:hint="eastAsia" w:ascii="宋体" w:hAnsi="宋体" w:eastAsia="宋体" w:cs="宋体"/>
                <w:szCs w:val="21"/>
              </w:rPr>
              <w:t>同时具有信息安全等级测评师中级或以上证书、注册信息安全专业人员证书（CISP）证书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</w:rPr>
              <w:t>每提供1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个</w:t>
            </w:r>
            <w:r>
              <w:rPr>
                <w:rFonts w:hint="eastAsia" w:ascii="宋体" w:hAnsi="宋体" w:eastAsia="宋体" w:cs="宋体"/>
                <w:szCs w:val="21"/>
              </w:rPr>
              <w:t>得1分，最多得2分。(提供证书复印件并加盖供应商公章)</w:t>
            </w:r>
          </w:p>
          <w:p>
            <w:pPr>
              <w:autoSpaceDN/>
              <w:spacing w:line="30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③</w:t>
            </w:r>
            <w:r>
              <w:rPr>
                <w:rFonts w:hint="eastAsia" w:ascii="宋体" w:hAnsi="宋体" w:eastAsia="宋体" w:cs="宋体"/>
                <w:szCs w:val="21"/>
              </w:rPr>
              <w:t>派驻本项目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测评师</w:t>
            </w:r>
            <w:r>
              <w:rPr>
                <w:rFonts w:hint="eastAsia" w:ascii="宋体" w:hAnsi="宋体" w:eastAsia="宋体" w:cs="宋体"/>
                <w:szCs w:val="21"/>
              </w:rPr>
              <w:t>同时具有信息安全等级测评师初级或以上证书、信息安全保障人员（CISAW）证书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</w:rPr>
              <w:t>每提供1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个</w:t>
            </w:r>
            <w:r>
              <w:rPr>
                <w:rFonts w:hint="eastAsia" w:ascii="宋体" w:hAnsi="宋体" w:eastAsia="宋体" w:cs="宋体"/>
                <w:szCs w:val="21"/>
              </w:rPr>
              <w:t>得1分，最多得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1"/>
              </w:rPr>
              <w:t>分，任缺一项证书不得分。(提供证书复印件并加盖供应商公章)</w:t>
            </w:r>
          </w:p>
        </w:tc>
        <w:tc>
          <w:tcPr>
            <w:tcW w:w="1068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00" w:lineRule="exact"/>
            </w:pPr>
            <w:r>
              <w:rPr>
                <w:rFonts w:ascii="宋体"/>
              </w:rPr>
              <w:t>（</w:t>
            </w:r>
            <w:r>
              <w:rPr>
                <w:rFonts w:hint="eastAsia" w:ascii="宋体" w:hAnsi="宋体" w:cs="宋体"/>
              </w:rPr>
              <w:t>技术类</w:t>
            </w:r>
            <w:r>
              <w:rPr>
                <w:rFonts w:ascii="宋体"/>
              </w:rPr>
              <w:t>评分因素）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35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5</w:t>
            </w:r>
          </w:p>
        </w:tc>
        <w:tc>
          <w:tcPr>
            <w:tcW w:w="56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项目实施方案</w:t>
            </w:r>
          </w:p>
        </w:tc>
        <w:tc>
          <w:tcPr>
            <w:tcW w:w="35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16</w:t>
            </w:r>
            <w:r>
              <w:rPr>
                <w:rFonts w:ascii="宋体" w:hAnsi="宋体"/>
              </w:rPr>
              <w:t>分</w:t>
            </w:r>
          </w:p>
        </w:tc>
        <w:tc>
          <w:tcPr>
            <w:tcW w:w="26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/>
              <w:spacing w:line="300" w:lineRule="exact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根据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提供的项目实施方案进行评审，该方案应包含：①项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确定测评范围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、②获得信息系统的信息、③确定具体的测评对象、定测评工作的方法、⑤制定测评工作计划、⑥实施等级保护测评 、⑦项目总结、⑧进度保障方案。完整提供上述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项内容的得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分；每有一项未提供扣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分，扣完为止；每有一处有缺陷扣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，扣完为止。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1068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（共同评分因素）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ind w:firstLine="235"/>
              <w:jc w:val="center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6</w:t>
            </w:r>
          </w:p>
        </w:tc>
        <w:tc>
          <w:tcPr>
            <w:tcW w:w="56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售后服务方案</w:t>
            </w:r>
          </w:p>
        </w:tc>
        <w:tc>
          <w:tcPr>
            <w:tcW w:w="35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6分</w:t>
            </w:r>
          </w:p>
        </w:tc>
        <w:tc>
          <w:tcPr>
            <w:tcW w:w="26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utoSpaceDN/>
              <w:spacing w:line="300" w:lineRule="exact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根据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投标人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提供的售后服务方案进行评审，该方案应包含：①</w:t>
            </w:r>
            <w:r>
              <w:rPr>
                <w:rFonts w:hint="eastAsia" w:ascii="宋体" w:hAnsi="宋体" w:eastAsia="宋体" w:cs="宋体"/>
                <w:szCs w:val="21"/>
              </w:rPr>
              <w:t>售后技术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负责人员及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售后服务措施</w:t>
            </w:r>
            <w:r>
              <w:rPr>
                <w:rFonts w:hint="eastAsia" w:ascii="宋体" w:hAnsi="宋体" w:eastAsia="宋体" w:cs="宋体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②售后承诺及售后响应保障</w:t>
            </w:r>
            <w:r>
              <w:rPr>
                <w:rFonts w:hint="eastAsia" w:ascii="宋体" w:hAnsi="宋体" w:eastAsia="宋体" w:cs="宋体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hint="eastAsia" w:ascii="宋体" w:hAnsi="宋体" w:eastAsia="宋体" w:cs="宋体"/>
                <w:szCs w:val="21"/>
              </w:rPr>
              <w:t>售后技术能力的可行性和真实性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完整提供上述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项内容的得6分；每有一项未提供扣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分，扣完为止；每有一处有缺陷扣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分，扣完为止。</w:t>
            </w:r>
          </w:p>
        </w:tc>
        <w:tc>
          <w:tcPr>
            <w:tcW w:w="1068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spacing w:line="300" w:lineRule="exact"/>
              <w:rPr>
                <w:rFonts w:ascii="宋体" w:hAnsi="宋体"/>
              </w:rPr>
            </w:pPr>
          </w:p>
        </w:tc>
      </w:tr>
    </w:tbl>
    <w:p>
      <w:pPr>
        <w:pStyle w:val="7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0158D6"/>
    <w:rsid w:val="01EE0DCD"/>
    <w:rsid w:val="02554973"/>
    <w:rsid w:val="02616E54"/>
    <w:rsid w:val="029562D6"/>
    <w:rsid w:val="0382186E"/>
    <w:rsid w:val="061B1AB8"/>
    <w:rsid w:val="07CF5DE6"/>
    <w:rsid w:val="099019C9"/>
    <w:rsid w:val="0BEF4460"/>
    <w:rsid w:val="0DB40D5F"/>
    <w:rsid w:val="0DC61272"/>
    <w:rsid w:val="126354EB"/>
    <w:rsid w:val="160E6673"/>
    <w:rsid w:val="176A5B2B"/>
    <w:rsid w:val="17EE2139"/>
    <w:rsid w:val="1C3B161D"/>
    <w:rsid w:val="1C985A0D"/>
    <w:rsid w:val="1F2931B0"/>
    <w:rsid w:val="1FAA15A2"/>
    <w:rsid w:val="21BA2442"/>
    <w:rsid w:val="21DE7774"/>
    <w:rsid w:val="231A6657"/>
    <w:rsid w:val="23CE6958"/>
    <w:rsid w:val="2734580E"/>
    <w:rsid w:val="29B90F52"/>
    <w:rsid w:val="2B796EBE"/>
    <w:rsid w:val="2D54610A"/>
    <w:rsid w:val="2DB72565"/>
    <w:rsid w:val="2EF62284"/>
    <w:rsid w:val="30014A99"/>
    <w:rsid w:val="300817D1"/>
    <w:rsid w:val="30D71213"/>
    <w:rsid w:val="316F5DC0"/>
    <w:rsid w:val="332B5D3D"/>
    <w:rsid w:val="34F71B6C"/>
    <w:rsid w:val="382179C7"/>
    <w:rsid w:val="38520016"/>
    <w:rsid w:val="38B769AF"/>
    <w:rsid w:val="39747600"/>
    <w:rsid w:val="3A2550DD"/>
    <w:rsid w:val="3A2F783B"/>
    <w:rsid w:val="3A745C5C"/>
    <w:rsid w:val="3B116B04"/>
    <w:rsid w:val="3B481C54"/>
    <w:rsid w:val="3CC66AB0"/>
    <w:rsid w:val="3D4F4F00"/>
    <w:rsid w:val="3D5529A7"/>
    <w:rsid w:val="3DBC3894"/>
    <w:rsid w:val="3DBE5F72"/>
    <w:rsid w:val="3E960D7F"/>
    <w:rsid w:val="3FAF737C"/>
    <w:rsid w:val="420266F3"/>
    <w:rsid w:val="421502BE"/>
    <w:rsid w:val="424F5000"/>
    <w:rsid w:val="4288362A"/>
    <w:rsid w:val="43CF26EE"/>
    <w:rsid w:val="444A5147"/>
    <w:rsid w:val="44A27E03"/>
    <w:rsid w:val="44A92D67"/>
    <w:rsid w:val="454B07EC"/>
    <w:rsid w:val="45D73970"/>
    <w:rsid w:val="4962387D"/>
    <w:rsid w:val="49751503"/>
    <w:rsid w:val="4AAC43F0"/>
    <w:rsid w:val="4BA8188C"/>
    <w:rsid w:val="4BBE6CC9"/>
    <w:rsid w:val="5074152A"/>
    <w:rsid w:val="51607810"/>
    <w:rsid w:val="56562FBB"/>
    <w:rsid w:val="568A6CE1"/>
    <w:rsid w:val="574216FD"/>
    <w:rsid w:val="57A81AFA"/>
    <w:rsid w:val="57CC719B"/>
    <w:rsid w:val="5919648E"/>
    <w:rsid w:val="59FF2CE9"/>
    <w:rsid w:val="5A00477A"/>
    <w:rsid w:val="5BDD00ED"/>
    <w:rsid w:val="5C0827EA"/>
    <w:rsid w:val="5CD77044"/>
    <w:rsid w:val="5D675648"/>
    <w:rsid w:val="5E9952E6"/>
    <w:rsid w:val="619F058F"/>
    <w:rsid w:val="627D77E8"/>
    <w:rsid w:val="6333473F"/>
    <w:rsid w:val="639D5445"/>
    <w:rsid w:val="643B2E62"/>
    <w:rsid w:val="6514408E"/>
    <w:rsid w:val="6A7A7481"/>
    <w:rsid w:val="6BDF3567"/>
    <w:rsid w:val="720F7FD6"/>
    <w:rsid w:val="730F4A91"/>
    <w:rsid w:val="733155CB"/>
    <w:rsid w:val="73F41F8C"/>
    <w:rsid w:val="74324BCE"/>
    <w:rsid w:val="753C7334"/>
    <w:rsid w:val="75F029D1"/>
    <w:rsid w:val="768947FB"/>
    <w:rsid w:val="77D00208"/>
    <w:rsid w:val="79C142AC"/>
    <w:rsid w:val="7B187EFC"/>
    <w:rsid w:val="7CC50351"/>
    <w:rsid w:val="7CD622C1"/>
    <w:rsid w:val="7F5D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5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8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9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10">
    <w:name w:val="endnote text"/>
    <w:basedOn w:val="1"/>
    <w:qFormat/>
    <w:uiPriority w:val="0"/>
    <w:pPr>
      <w:snapToGrid w:val="0"/>
      <w:jc w:val="left"/>
    </w:pPr>
  </w:style>
  <w:style w:type="paragraph" w:styleId="11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next w:val="7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Normal (Web)"/>
    <w:basedOn w:val="1"/>
    <w:next w:val="10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7">
    <w:name w:val="Table Grid"/>
    <w:basedOn w:val="1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page number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2">
    <w:name w:val="页眉 Char"/>
    <w:basedOn w:val="18"/>
    <w:link w:val="13"/>
    <w:qFormat/>
    <w:uiPriority w:val="99"/>
    <w:rPr>
      <w:sz w:val="18"/>
      <w:szCs w:val="18"/>
    </w:rPr>
  </w:style>
  <w:style w:type="character" w:customStyle="1" w:styleId="23">
    <w:name w:val="页脚 Char"/>
    <w:basedOn w:val="18"/>
    <w:link w:val="12"/>
    <w:qFormat/>
    <w:uiPriority w:val="99"/>
    <w:rPr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标题 2 Char"/>
    <w:basedOn w:val="18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6">
    <w:name w:val="列出段落 Char"/>
    <w:link w:val="27"/>
    <w:qFormat/>
    <w:uiPriority w:val="34"/>
    <w:rPr>
      <w:rFonts w:ascii="宋体" w:hAnsi="宋体" w:cs="宋体"/>
      <w:sz w:val="24"/>
      <w:szCs w:val="24"/>
    </w:rPr>
  </w:style>
  <w:style w:type="paragraph" w:customStyle="1" w:styleId="27">
    <w:name w:val="列出段落1"/>
    <w:basedOn w:val="1"/>
    <w:link w:val="26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8">
    <w:name w:val="日期 Char"/>
    <w:basedOn w:val="18"/>
    <w:link w:val="9"/>
    <w:semiHidden/>
    <w:qFormat/>
    <w:uiPriority w:val="99"/>
  </w:style>
  <w:style w:type="character" w:customStyle="1" w:styleId="29">
    <w:name w:val="批注框文本 Char"/>
    <w:basedOn w:val="18"/>
    <w:link w:val="11"/>
    <w:semiHidden/>
    <w:qFormat/>
    <w:uiPriority w:val="99"/>
    <w:rPr>
      <w:sz w:val="18"/>
      <w:szCs w:val="18"/>
    </w:rPr>
  </w:style>
  <w:style w:type="character" w:customStyle="1" w:styleId="30">
    <w:name w:val="font0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1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3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33">
    <w:name w:val="小四正文"/>
    <w:basedOn w:val="1"/>
    <w:next w:val="1"/>
    <w:qFormat/>
    <w:locked/>
    <w:uiPriority w:val="0"/>
    <w:pPr>
      <w:spacing w:line="360" w:lineRule="auto"/>
      <w:ind w:firstLine="200" w:firstLineChars="200"/>
    </w:pPr>
    <w:rPr>
      <w:rFonts w:ascii="Calibri" w:hAnsi="Calibri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10629</Words>
  <Characters>11134</Characters>
  <Lines>14</Lines>
  <Paragraphs>4</Paragraphs>
  <TotalTime>0</TotalTime>
  <ScaleCrop>false</ScaleCrop>
  <LinksUpToDate>false</LinksUpToDate>
  <CharactersWithSpaces>11247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2023-09-14T08:33:00Z</cp:lastPrinted>
  <dcterms:modified xsi:type="dcterms:W3CDTF">2023-09-27T08:39:13Z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3A862DE1718140559898297CFD5BBE71_13</vt:lpwstr>
  </property>
</Properties>
</file>