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黑体" w:cs="Times New Roman"/>
          <w:b/>
          <w:bCs/>
          <w:sz w:val="32"/>
          <w:szCs w:val="32"/>
        </w:rPr>
      </w:pPr>
      <w:bookmarkStart w:id="0" w:name="_Hlt101843627"/>
      <w:bookmarkEnd w:id="0"/>
      <w:bookmarkStart w:id="1" w:name="_Hlt101233737"/>
      <w:bookmarkEnd w:id="1"/>
      <w:r>
        <w:rPr>
          <w:rFonts w:hint="default" w:ascii="Times New Roman" w:hAnsi="Times New Roman" w:eastAsia="黑体" w:cs="Times New Roman"/>
          <w:b/>
          <w:bCs/>
          <w:sz w:val="32"/>
          <w:szCs w:val="32"/>
        </w:rPr>
        <w:t>附件1：</w:t>
      </w:r>
      <w:r>
        <w:rPr>
          <w:rFonts w:hint="default" w:ascii="Times New Roman" w:hAnsi="Times New Roman" w:eastAsia="黑体" w:cs="Times New Roman"/>
          <w:b/>
          <w:bCs/>
          <w:sz w:val="32"/>
          <w:szCs w:val="32"/>
          <w:lang w:val="en-US" w:eastAsia="zh-CN"/>
        </w:rPr>
        <w:t>项目</w:t>
      </w:r>
      <w:r>
        <w:rPr>
          <w:rFonts w:hint="default" w:ascii="Times New Roman" w:hAnsi="Times New Roman" w:eastAsia="黑体" w:cs="Times New Roman"/>
          <w:b/>
          <w:bCs/>
          <w:sz w:val="32"/>
          <w:szCs w:val="32"/>
        </w:rPr>
        <w:t>需求</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宋体" w:cs="Times New Roman"/>
          <w:b w:val="0"/>
          <w:bCs w:val="0"/>
          <w:sz w:val="24"/>
          <w:szCs w:val="24"/>
          <w:highlight w:val="none"/>
          <w:lang w:eastAsia="zh-CN"/>
        </w:rPr>
      </w:pPr>
      <w:r>
        <w:rPr>
          <w:rFonts w:hint="default" w:ascii="Times New Roman" w:hAnsi="Times New Roman" w:eastAsia="宋体" w:cs="Times New Roman"/>
          <w:b w:val="0"/>
          <w:bCs w:val="0"/>
          <w:sz w:val="24"/>
          <w:szCs w:val="24"/>
          <w:highlight w:val="none"/>
          <w:lang w:eastAsia="zh-CN"/>
        </w:rPr>
        <w:t>（</w:t>
      </w:r>
      <w:r>
        <w:rPr>
          <w:rFonts w:hint="default" w:ascii="Times New Roman" w:hAnsi="Times New Roman" w:eastAsia="宋体" w:cs="Times New Roman"/>
          <w:sz w:val="24"/>
          <w:szCs w:val="24"/>
          <w:highlight w:val="none"/>
        </w:rPr>
        <w:t>本章中标注“</w:t>
      </w:r>
      <w:r>
        <w:rPr>
          <w:rFonts w:ascii="Segoe UI Symbol" w:hAnsi="Segoe UI Symbol" w:eastAsia="宋体" w:cs="Segoe UI Symbol"/>
          <w:sz w:val="24"/>
          <w:szCs w:val="24"/>
        </w:rPr>
        <w:t>★</w:t>
      </w:r>
      <w:r>
        <w:rPr>
          <w:rFonts w:hint="default" w:ascii="Times New Roman" w:hAnsi="Times New Roman" w:eastAsia="宋体" w:cs="Times New Roman"/>
          <w:sz w:val="24"/>
          <w:szCs w:val="24"/>
          <w:highlight w:val="none"/>
        </w:rPr>
        <w:t>”的条款为本项目的实质性条款，投标人不满足的，将按照无效投标处理。</w:t>
      </w:r>
      <w:r>
        <w:rPr>
          <w:rFonts w:hint="default" w:ascii="Times New Roman" w:hAnsi="Times New Roman" w:eastAsia="宋体" w:cs="Times New Roman"/>
          <w:b w:val="0"/>
          <w:bCs w:val="0"/>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b/>
          <w:bCs w:val="0"/>
          <w:color w:val="000000" w:themeColor="text1"/>
          <w:kern w:val="2"/>
          <w:sz w:val="24"/>
          <w:szCs w:val="24"/>
          <w:lang w:val="en-US" w:eastAsia="zh-CN" w:bidi="ar-SA"/>
          <w14:textFill>
            <w14:solidFill>
              <w14:schemeClr w14:val="tx1"/>
            </w14:solidFill>
          </w14:textFill>
        </w:rPr>
      </w:pPr>
      <w:r>
        <w:rPr>
          <w:rFonts w:hint="eastAsia" w:cs="宋体"/>
          <w:b/>
          <w:bCs w:val="0"/>
          <w:sz w:val="24"/>
          <w:szCs w:val="24"/>
          <w:lang w:val="en-US" w:eastAsia="zh-CN"/>
        </w:rPr>
        <w:t>一、</w:t>
      </w:r>
      <w:r>
        <w:rPr>
          <w:rFonts w:hint="eastAsia" w:ascii="宋体" w:hAnsi="宋体" w:eastAsia="宋体" w:cs="宋体"/>
          <w:b/>
          <w:bCs w:val="0"/>
          <w:color w:val="000000" w:themeColor="text1"/>
          <w:kern w:val="2"/>
          <w:sz w:val="24"/>
          <w:szCs w:val="24"/>
          <w:lang w:val="en-US" w:eastAsia="zh-CN" w:bidi="ar-SA"/>
          <w14:textFill>
            <w14:solidFill>
              <w14:schemeClr w14:val="tx1"/>
            </w14:solidFill>
          </w14:textFill>
        </w:rPr>
        <w:t>项目概述：</w:t>
      </w:r>
    </w:p>
    <w:p>
      <w:pPr>
        <w:pStyle w:val="16"/>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hint="eastAsia" w:ascii="Segoe UI Symbol" w:hAnsi="Segoe UI Symbol" w:eastAsia="宋体" w:cs="Segoe UI Symbol"/>
          <w:sz w:val="24"/>
          <w:szCs w:val="24"/>
          <w:lang w:val="en-US" w:eastAsia="zh-CN"/>
        </w:rPr>
      </w:pPr>
      <w:r>
        <w:rPr>
          <w:rFonts w:hint="eastAsia" w:ascii="Segoe UI Symbol" w:hAnsi="Segoe UI Symbol" w:eastAsia="宋体" w:cs="Segoe UI Symbol"/>
          <w:sz w:val="24"/>
          <w:szCs w:val="24"/>
          <w:lang w:val="en-US" w:eastAsia="zh-CN"/>
        </w:rPr>
        <w:t>成都市龙泉驿区妇幼保健院新生儿科为了满足不同住院患儿喂养的，需要需采购三类奶粉（清单如下），拟确定供应商2名。</w:t>
      </w:r>
    </w:p>
    <w:p>
      <w:pPr>
        <w:pStyle w:val="16"/>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宋体" w:hAnsi="宋体" w:eastAsia="宋体" w:cs="宋体"/>
          <w:b/>
          <w:bCs/>
          <w:color w:val="000000" w:themeColor="text1"/>
          <w:sz w:val="24"/>
          <w:szCs w:val="24"/>
          <w:lang w:val="en-US" w:eastAsia="zh-CN"/>
          <w14:textFill>
            <w14:solidFill>
              <w14:schemeClr w14:val="tx1"/>
            </w14:solidFill>
          </w14:textFill>
        </w:rPr>
      </w:pPr>
      <w:r>
        <w:rPr>
          <w:rFonts w:ascii="Segoe UI Symbol" w:hAnsi="Segoe UI Symbol" w:eastAsia="宋体" w:cs="Segoe UI Symbol"/>
          <w:sz w:val="24"/>
          <w:szCs w:val="24"/>
        </w:rPr>
        <w:t>★</w:t>
      </w:r>
      <w:r>
        <w:rPr>
          <w:rFonts w:hint="eastAsia" w:ascii="宋体" w:hAnsi="宋体" w:eastAsia="宋体" w:cs="宋体"/>
          <w:b/>
          <w:bCs/>
          <w:color w:val="000000" w:themeColor="text1"/>
          <w:sz w:val="24"/>
          <w:szCs w:val="24"/>
          <w:lang w:val="en-US" w:eastAsia="zh-CN"/>
          <w14:textFill>
            <w14:solidFill>
              <w14:schemeClr w14:val="tx1"/>
            </w14:solidFill>
          </w14:textFill>
        </w:rPr>
        <w:t>二、总体要求：</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 w:val="24"/>
          <w:szCs w:val="24"/>
          <w:lang w:val="en-US" w:eastAsia="zh-CN"/>
        </w:rPr>
      </w:pPr>
      <w:r>
        <w:rPr>
          <w:rFonts w:hint="eastAsia"/>
          <w:sz w:val="24"/>
          <w:szCs w:val="24"/>
          <w:lang w:val="en-US" w:eastAsia="zh-CN"/>
        </w:rPr>
        <w:t>（一）投标要求：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lang w:val="en-US" w:eastAsia="zh-CN"/>
        </w:rPr>
      </w:pPr>
      <w:r>
        <w:rPr>
          <w:rFonts w:hint="eastAsia"/>
          <w:sz w:val="24"/>
          <w:szCs w:val="24"/>
          <w:lang w:val="en-US" w:eastAsia="zh-CN"/>
        </w:rPr>
        <w:t>1、投标人须在投标文件中详细列明拟供货品的品牌、规格、供货价等。</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lang w:val="en-US" w:eastAsia="zh-CN"/>
        </w:rPr>
      </w:pPr>
      <w:r>
        <w:rPr>
          <w:rFonts w:hint="eastAsia"/>
          <w:sz w:val="24"/>
          <w:szCs w:val="24"/>
          <w:lang w:val="en-US" w:eastAsia="zh-CN"/>
        </w:rPr>
        <w:t>2、比选文件中所列货品名称及数量供参考之用，实际供货以采购人每次提供的订单为准，单价按中标价执行，按实结算，中标人提供货品的品牌、规格应与比选文件相符或不低于本比选文件要求，如个别奶粉临时无法采购的，必须与采购人沟通，并得到采购人认可后才予以提供其他品牌同等质量的货品。</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lang w:val="en-US" w:eastAsia="zh-CN"/>
        </w:rPr>
      </w:pPr>
      <w:r>
        <w:rPr>
          <w:rFonts w:hint="eastAsia"/>
          <w:sz w:val="24"/>
          <w:szCs w:val="24"/>
          <w:lang w:val="en-US" w:eastAsia="zh-CN"/>
        </w:rPr>
        <w:t>3、如发现文件有缺漏或不一致或有不同的理解时，应及时提请采购人补充和澄清，否则，按项目的实际要求和采购人的理解执行。</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lang w:val="en-US" w:eastAsia="zh-CN"/>
        </w:rPr>
      </w:pPr>
      <w:r>
        <w:rPr>
          <w:rFonts w:hint="eastAsia"/>
          <w:sz w:val="24"/>
          <w:szCs w:val="24"/>
          <w:lang w:val="en-US" w:eastAsia="zh-CN"/>
        </w:rPr>
        <w:t>4、中标人不得将中标项目转让或分包给他人，否则采购人有权单方终止合同，由此产生的一切经济损失由中标人自行承担。</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 w:val="24"/>
          <w:szCs w:val="24"/>
          <w:lang w:val="en-US" w:eastAsia="zh-CN"/>
        </w:rPr>
      </w:pPr>
      <w:r>
        <w:rPr>
          <w:rFonts w:hint="eastAsia"/>
          <w:sz w:val="24"/>
          <w:szCs w:val="24"/>
          <w:lang w:val="en-US" w:eastAsia="zh-CN"/>
        </w:rPr>
        <w:t>（二）质量及包装要求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lang w:val="en-US" w:eastAsia="zh-CN"/>
        </w:rPr>
      </w:pPr>
      <w:r>
        <w:rPr>
          <w:rFonts w:hint="eastAsia"/>
          <w:sz w:val="24"/>
          <w:szCs w:val="24"/>
          <w:lang w:val="en-US" w:eastAsia="zh-CN"/>
        </w:rPr>
        <w:t>1、投标人应充分理解并认真遵循本比选文件的要求，所提供的货物必须是满足比选文件要求。保证合同货品均为正规的厂家生产的全新、合格以上、无侵权货品，符合国家有关质量、包装标准，有使用有效期的货品其剩余有效期不得少于标注有效期的</w:t>
      </w:r>
      <w:r>
        <w:rPr>
          <w:rFonts w:hint="eastAsia"/>
          <w:color w:val="0000FF"/>
          <w:sz w:val="24"/>
          <w:szCs w:val="24"/>
          <w:lang w:val="en-US" w:eastAsia="zh-CN"/>
        </w:rPr>
        <w:t>60%</w:t>
      </w:r>
      <w:r>
        <w:rPr>
          <w:rFonts w:hint="eastAsia"/>
          <w:sz w:val="24"/>
          <w:szCs w:val="24"/>
          <w:lang w:val="en-US" w:eastAsia="zh-CN"/>
        </w:rPr>
        <w:t>。投标人提供假冒伪劣、过期产品的，一经发现，除按采购人要求无条件退货或换货外，还将被处以产品价格10倍的罚款，罚款在供货结算款内扣除。</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lang w:val="en-US" w:eastAsia="zh-CN"/>
        </w:rPr>
      </w:pPr>
      <w:r>
        <w:rPr>
          <w:rFonts w:hint="eastAsia"/>
          <w:sz w:val="24"/>
          <w:szCs w:val="24"/>
          <w:lang w:val="en-US" w:eastAsia="zh-CN"/>
        </w:rPr>
        <w:t>2、货物有包装的，货物的包装必须完整清洁（无损、无污、无皱、无凹罐），采购人有权拒收包装不整齐、已拆封的商品。</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lang w:val="en-US" w:eastAsia="zh-CN"/>
        </w:rPr>
      </w:pPr>
      <w:r>
        <w:rPr>
          <w:rFonts w:hint="eastAsia"/>
          <w:sz w:val="24"/>
          <w:szCs w:val="24"/>
          <w:lang w:val="en-US" w:eastAsia="zh-CN"/>
        </w:rPr>
        <w:t>3、采购人发现商品出现损坏（包括表面损坏），或出现水渍、串味、受潮等导致货物性质改变的，投标人必须无条件退货或更换商品。</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 w:val="24"/>
          <w:szCs w:val="24"/>
          <w:lang w:val="en-US" w:eastAsia="zh-CN"/>
        </w:rPr>
      </w:pPr>
      <w:r>
        <w:rPr>
          <w:rFonts w:hint="eastAsia"/>
          <w:sz w:val="24"/>
          <w:szCs w:val="24"/>
          <w:lang w:val="en-US" w:eastAsia="zh-CN"/>
        </w:rPr>
        <w:t>（三）价格要求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lang w:val="en-US" w:eastAsia="zh-CN"/>
        </w:rPr>
      </w:pPr>
      <w:r>
        <w:rPr>
          <w:rFonts w:hint="eastAsia"/>
          <w:sz w:val="24"/>
          <w:szCs w:val="24"/>
          <w:lang w:val="en-US" w:eastAsia="zh-CN"/>
        </w:rPr>
        <w:t>1、以中标单价（单位：元/克）为合同价；中标单价在合同执行期间不变。</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lang w:val="en-US" w:eastAsia="zh-CN"/>
        </w:rPr>
      </w:pPr>
      <w:r>
        <w:rPr>
          <w:rFonts w:hint="eastAsia"/>
          <w:sz w:val="24"/>
          <w:szCs w:val="24"/>
          <w:lang w:val="en-US" w:eastAsia="zh-CN"/>
        </w:rPr>
        <w:t>2、投标报价包含产品价格、运输、装卸、售后服务、保险、搬运及税金等一切费用。</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lang w:val="en-US" w:eastAsia="zh-CN"/>
        </w:rPr>
      </w:pPr>
      <w:r>
        <w:rPr>
          <w:rFonts w:hint="eastAsia"/>
          <w:sz w:val="24"/>
          <w:szCs w:val="24"/>
          <w:lang w:val="en-US" w:eastAsia="zh-CN"/>
        </w:rPr>
        <w:t>3、中标人不得擅自变更供应商品（含商标、名称、产地、包装、规格和重量等），并严格按招标要求供应，否则，采购人有权拒收。如因市场流通问题确实需要变更的，应事先书面申请，并经采购人同意后方可改变。</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lang w:val="en-US" w:eastAsia="zh-CN"/>
        </w:rPr>
      </w:pPr>
      <w:r>
        <w:rPr>
          <w:rFonts w:hint="eastAsia"/>
          <w:sz w:val="24"/>
          <w:szCs w:val="24"/>
          <w:lang w:val="en-US" w:eastAsia="zh-CN"/>
        </w:rPr>
        <w:t>4、采购人根据自身的需求，有权选择某类中标商品的采购。</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 w:val="24"/>
          <w:szCs w:val="24"/>
          <w:lang w:val="en-US" w:eastAsia="zh-CN"/>
        </w:rPr>
      </w:pPr>
      <w:r>
        <w:rPr>
          <w:rFonts w:hint="eastAsia"/>
          <w:sz w:val="24"/>
          <w:szCs w:val="24"/>
          <w:lang w:val="en-US" w:eastAsia="zh-CN"/>
        </w:rPr>
        <w:t>（四）服务要求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lang w:val="en-US" w:eastAsia="zh-CN"/>
        </w:rPr>
      </w:pPr>
      <w:r>
        <w:rPr>
          <w:rFonts w:hint="eastAsia"/>
          <w:sz w:val="24"/>
          <w:szCs w:val="24"/>
          <w:lang w:val="en-US" w:eastAsia="zh-CN"/>
        </w:rPr>
        <w:t>1、采购人发出采购指令后，中标人必须在60分钟内采取实质性行动。对于一般商品，采购人发出采购指令后，中标人应当在3天内将商品送达指定地点。对于特殊商品，送到时间超过3天的，经采购人同意后，送达时间一般不能超过 5天。由于中标人拖沓造成采购人利益受损的，采购人有权要求中标人赔偿。</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lang w:val="en-US" w:eastAsia="zh-CN"/>
        </w:rPr>
      </w:pPr>
      <w:r>
        <w:rPr>
          <w:rFonts w:hint="eastAsia"/>
          <w:sz w:val="24"/>
          <w:szCs w:val="24"/>
          <w:lang w:val="en-US" w:eastAsia="zh-CN"/>
        </w:rPr>
        <w:t>2、中标人应至少安排1个专人负责为采购人院内送货。</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lang w:val="en-US" w:eastAsia="zh-CN"/>
        </w:rPr>
      </w:pPr>
      <w:r>
        <w:rPr>
          <w:rFonts w:hint="eastAsia"/>
          <w:sz w:val="24"/>
          <w:szCs w:val="24"/>
          <w:lang w:val="en-US" w:eastAsia="zh-CN"/>
        </w:rPr>
        <w:t>3、在采购人签收之前，货物的所有权和风险属于中标人，货物发生遗失、损坏、灭失由中标人负责。</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lang w:val="en-US" w:eastAsia="zh-CN"/>
        </w:rPr>
      </w:pPr>
      <w:r>
        <w:rPr>
          <w:rFonts w:hint="eastAsia"/>
          <w:sz w:val="24"/>
          <w:szCs w:val="24"/>
          <w:lang w:val="en-US" w:eastAsia="zh-CN"/>
        </w:rPr>
        <w:t>4、中标人须严格按照采购人的指令配送商品的数量，不得随意增减数量，否则，采购人有权拒收。</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lang w:val="en-US" w:eastAsia="zh-CN"/>
        </w:rPr>
      </w:pPr>
      <w:r>
        <w:rPr>
          <w:rFonts w:hint="eastAsia"/>
          <w:sz w:val="24"/>
          <w:szCs w:val="24"/>
          <w:lang w:val="en-US" w:eastAsia="zh-CN"/>
        </w:rPr>
        <w:t>5、除客观不可抗力外，中标人不得推迟送货。如确需延迟送货的，中标人应在得知情况的同时告知采购人。因中标人原因延误交货日期的（采购人要求推迟的除外），由此产生的一切损失和费用由其承担。</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lang w:val="en-US" w:eastAsia="zh-CN"/>
        </w:rPr>
      </w:pPr>
      <w:r>
        <w:rPr>
          <w:rFonts w:hint="eastAsia"/>
          <w:sz w:val="24"/>
          <w:szCs w:val="24"/>
          <w:lang w:val="en-US" w:eastAsia="zh-CN"/>
        </w:rPr>
        <w:t>6、采购人发现新购商品不能正常使用的，中标人应无条件退换。中标人未能履行招标文件和合同所定事项,或供应不合格的、假冒伪劣、以次充好的商品，采购人退货后将记录在案，并对中标人予以处罚，除要承担因此产生的一切损失和费用外，情节严重的可取消其供应资格。</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lang w:val="en-US" w:eastAsia="zh-CN"/>
        </w:rPr>
      </w:pPr>
      <w:r>
        <w:rPr>
          <w:rFonts w:hint="eastAsia"/>
          <w:sz w:val="24"/>
          <w:szCs w:val="24"/>
          <w:lang w:val="en-US" w:eastAsia="zh-CN"/>
        </w:rPr>
        <w:t>7、投标人中标后，采购人可随时对中标产品进行必要的核实，如发现中标人的投标文件中有不实的技术指标或承诺以及其他弄虚作假情况，将取消其中标资格。</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lang w:val="en-US" w:eastAsia="zh-CN"/>
        </w:rPr>
      </w:pPr>
      <w:r>
        <w:rPr>
          <w:rFonts w:hint="eastAsia"/>
          <w:sz w:val="24"/>
          <w:szCs w:val="24"/>
          <w:lang w:val="en-US" w:eastAsia="zh-CN"/>
        </w:rPr>
        <w:t>8、中标人不能按中标价格交付中标产品、不能提供与其承诺相符的服务或中标人存在违反招标文件和合同的行为，并且不予纠正的，将取消其中标资格。此项下违约责任包括但不限于下列各项：</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 w:val="24"/>
          <w:szCs w:val="24"/>
          <w:lang w:val="en-US" w:eastAsia="zh-CN"/>
        </w:rPr>
      </w:pPr>
      <w:r>
        <w:rPr>
          <w:rFonts w:hint="eastAsia"/>
          <w:sz w:val="24"/>
          <w:szCs w:val="24"/>
          <w:lang w:val="en-US" w:eastAsia="zh-CN"/>
        </w:rPr>
        <w:t>（1）中标人在收到采购人订货要求后，在承诺的供货时间内不能供货的；</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 w:val="24"/>
          <w:szCs w:val="24"/>
          <w:lang w:val="en-US" w:eastAsia="zh-CN"/>
        </w:rPr>
      </w:pPr>
      <w:r>
        <w:rPr>
          <w:rFonts w:hint="eastAsia"/>
          <w:sz w:val="24"/>
          <w:szCs w:val="24"/>
          <w:lang w:val="en-US" w:eastAsia="zh-CN"/>
        </w:rPr>
        <w:t>（2）中标的某一规格货物被另一规格的新产品替代（替代产品不能低于原系列或原规格产品且已经采购人确认）时，中标人擅自提高供货价格的；</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 w:val="24"/>
          <w:szCs w:val="24"/>
          <w:lang w:val="en-US" w:eastAsia="zh-CN"/>
        </w:rPr>
      </w:pPr>
      <w:r>
        <w:rPr>
          <w:rFonts w:hint="eastAsia"/>
          <w:sz w:val="24"/>
          <w:szCs w:val="24"/>
          <w:lang w:val="en-US" w:eastAsia="zh-CN"/>
        </w:rPr>
        <w:t>（3）中标人未能提供承诺的服务的。</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lang w:val="en-US" w:eastAsia="zh-CN"/>
        </w:rPr>
      </w:pPr>
      <w:r>
        <w:rPr>
          <w:rFonts w:hint="eastAsia"/>
          <w:sz w:val="24"/>
          <w:szCs w:val="24"/>
          <w:lang w:val="en-US" w:eastAsia="zh-CN"/>
        </w:rPr>
        <w:t>9、中标人的送货单必须详细注明商品的品牌、规格、单价、数量、送货单不得涂改。标记不清的，采购人将拒绝签收。结算期末中标人还应提供送货清单供采购人结算。</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lang w:val="en-US" w:eastAsia="zh-CN"/>
        </w:rPr>
      </w:pPr>
      <w:r>
        <w:rPr>
          <w:rFonts w:hint="eastAsia"/>
          <w:sz w:val="24"/>
          <w:szCs w:val="24"/>
          <w:lang w:val="en-US" w:eastAsia="zh-CN"/>
        </w:rPr>
        <w:t>10、中标人指定的送货专员在院内活动必须严格遵守医院各项规章制度，不得做出有损采购人形象和利益的事情。</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lang w:val="en-US" w:eastAsia="zh-CN"/>
        </w:rPr>
      </w:pPr>
      <w:r>
        <w:rPr>
          <w:rFonts w:hint="eastAsia"/>
          <w:sz w:val="24"/>
          <w:szCs w:val="24"/>
          <w:lang w:val="en-US" w:eastAsia="zh-CN"/>
        </w:rPr>
        <w:t>11、中标人不得泄露采购人的商业秘密。泄密造成采购人损失的，中标人将承担由此产生的一切损失和法律责任。</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b/>
          <w:bCs/>
          <w:sz w:val="24"/>
          <w:szCs w:val="24"/>
          <w:lang w:val="en-US" w:eastAsia="zh-CN"/>
        </w:rPr>
      </w:pPr>
      <w:r>
        <w:rPr>
          <w:rFonts w:ascii="Segoe UI Symbol" w:hAnsi="Segoe UI Symbol" w:eastAsia="宋体" w:cs="Segoe UI Symbol"/>
          <w:sz w:val="24"/>
          <w:szCs w:val="24"/>
        </w:rPr>
        <w:t>★</w:t>
      </w:r>
      <w:r>
        <w:rPr>
          <w:rFonts w:hint="eastAsia"/>
          <w:b/>
          <w:bCs/>
          <w:sz w:val="24"/>
          <w:szCs w:val="24"/>
          <w:lang w:val="en-US" w:eastAsia="zh-CN"/>
        </w:rPr>
        <w:t>三、采购需求</w:t>
      </w:r>
    </w:p>
    <w:p>
      <w:pPr>
        <w:pStyle w:val="16"/>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sz w:val="24"/>
          <w:szCs w:val="24"/>
        </w:rPr>
        <w:t>1、</w:t>
      </w:r>
      <w:r>
        <w:rPr>
          <w:rFonts w:hint="eastAsia"/>
          <w:sz w:val="24"/>
          <w:szCs w:val="24"/>
          <w:lang w:val="en-US" w:eastAsia="zh-CN"/>
        </w:rPr>
        <w:t>采购清单及限价</w:t>
      </w:r>
      <w:r>
        <w:rPr>
          <w:sz w:val="24"/>
          <w:szCs w:val="24"/>
        </w:rPr>
        <w:t>：</w:t>
      </w:r>
    </w:p>
    <w:tbl>
      <w:tblPr>
        <w:tblStyle w:val="12"/>
        <w:tblpPr w:leftFromText="180" w:rightFromText="180" w:vertAnchor="text" w:horzAnchor="page" w:tblpXSpec="center" w:tblpY="133"/>
        <w:tblOverlap w:val="never"/>
        <w:tblW w:w="5477" w:type="pct"/>
        <w:jc w:val="center"/>
        <w:tblLayout w:type="fixed"/>
        <w:tblCellMar>
          <w:top w:w="0" w:type="dxa"/>
          <w:left w:w="108" w:type="dxa"/>
          <w:bottom w:w="0" w:type="dxa"/>
          <w:right w:w="108" w:type="dxa"/>
        </w:tblCellMar>
      </w:tblPr>
      <w:tblGrid>
        <w:gridCol w:w="683"/>
        <w:gridCol w:w="1899"/>
        <w:gridCol w:w="978"/>
        <w:gridCol w:w="1629"/>
        <w:gridCol w:w="1845"/>
        <w:gridCol w:w="1010"/>
        <w:gridCol w:w="1292"/>
      </w:tblGrid>
      <w:tr>
        <w:tblPrEx>
          <w:tblCellMar>
            <w:top w:w="0" w:type="dxa"/>
            <w:left w:w="108" w:type="dxa"/>
            <w:bottom w:w="0" w:type="dxa"/>
            <w:right w:w="108" w:type="dxa"/>
          </w:tblCellMar>
        </w:tblPrEx>
        <w:trPr>
          <w:trHeight w:val="730" w:hRule="atLeast"/>
          <w:jc w:val="center"/>
        </w:trPr>
        <w:tc>
          <w:tcPr>
            <w:tcW w:w="365" w:type="pct"/>
            <w:tcBorders>
              <w:top w:val="single" w:color="auto" w:sz="4" w:space="0"/>
              <w:left w:val="single" w:color="auto" w:sz="4" w:space="0"/>
              <w:bottom w:val="single" w:color="auto" w:sz="4" w:space="0"/>
              <w:right w:val="single" w:color="auto" w:sz="4" w:space="0"/>
            </w:tcBorders>
            <w:shd w:val="clear" w:color="auto" w:fill="auto"/>
            <w:noWrap/>
            <w:vAlign w:val="center"/>
          </w:tcPr>
          <w:p>
            <w:pPr>
              <w:pStyle w:val="16"/>
              <w:spacing w:line="360" w:lineRule="exact"/>
              <w:ind w:firstLine="0" w:firstLineChars="0"/>
              <w:jc w:val="center"/>
              <w:rPr>
                <w:rFonts w:hint="eastAsia" w:ascii="宋体" w:hAnsi="宋体" w:eastAsia="宋体" w:cs="宋体"/>
                <w:color w:val="FF0000"/>
                <w:sz w:val="24"/>
                <w:szCs w:val="24"/>
                <w:lang w:val="en-US" w:eastAsia="zh-CN"/>
              </w:rPr>
            </w:pPr>
            <w:r>
              <w:rPr>
                <w:rFonts w:hint="eastAsia" w:ascii="宋体" w:hAnsi="宋体" w:eastAsia="宋体" w:cs="宋体"/>
                <w:color w:val="FF0000"/>
                <w:sz w:val="24"/>
                <w:szCs w:val="24"/>
                <w:lang w:val="en-US" w:eastAsia="zh-CN"/>
              </w:rPr>
              <w:t>序号</w:t>
            </w:r>
          </w:p>
        </w:tc>
        <w:tc>
          <w:tcPr>
            <w:tcW w:w="1017" w:type="pct"/>
            <w:tcBorders>
              <w:top w:val="single" w:color="auto" w:sz="4" w:space="0"/>
              <w:left w:val="nil"/>
              <w:bottom w:val="single" w:color="auto" w:sz="4" w:space="0"/>
              <w:right w:val="single" w:color="auto" w:sz="4" w:space="0"/>
            </w:tcBorders>
            <w:shd w:val="clear" w:color="auto" w:fill="auto"/>
            <w:vAlign w:val="center"/>
          </w:tcPr>
          <w:p>
            <w:pPr>
              <w:pStyle w:val="16"/>
              <w:spacing w:line="360" w:lineRule="exact"/>
              <w:ind w:firstLine="0" w:firstLineChars="0"/>
              <w:jc w:val="center"/>
              <w:rPr>
                <w:rFonts w:hint="eastAsia" w:ascii="宋体" w:hAnsi="宋体" w:eastAsia="宋体" w:cs="宋体"/>
                <w:color w:val="FF0000"/>
                <w:sz w:val="24"/>
                <w:szCs w:val="24"/>
                <w:lang w:val="en-US" w:eastAsia="zh-CN"/>
              </w:rPr>
            </w:pPr>
            <w:r>
              <w:rPr>
                <w:rFonts w:hint="eastAsia" w:ascii="宋体" w:hAnsi="宋体" w:eastAsia="宋体" w:cs="宋体"/>
                <w:color w:val="FF0000"/>
                <w:sz w:val="24"/>
                <w:szCs w:val="24"/>
                <w:lang w:val="en-US" w:eastAsia="zh-CN"/>
              </w:rPr>
              <w:t>品种</w:t>
            </w:r>
          </w:p>
        </w:tc>
        <w:tc>
          <w:tcPr>
            <w:tcW w:w="523" w:type="pct"/>
            <w:tcBorders>
              <w:top w:val="single" w:color="auto" w:sz="4" w:space="0"/>
              <w:left w:val="nil"/>
              <w:bottom w:val="single" w:color="auto" w:sz="4" w:space="0"/>
              <w:right w:val="single" w:color="auto" w:sz="4" w:space="0"/>
            </w:tcBorders>
            <w:shd w:val="clear" w:color="auto" w:fill="auto"/>
            <w:noWrap/>
            <w:vAlign w:val="center"/>
          </w:tcPr>
          <w:p>
            <w:pPr>
              <w:pStyle w:val="16"/>
              <w:spacing w:line="360" w:lineRule="exact"/>
              <w:ind w:firstLine="0" w:firstLineChars="0"/>
              <w:jc w:val="center"/>
              <w:rPr>
                <w:rFonts w:hint="eastAsia" w:ascii="宋体" w:hAnsi="宋体" w:eastAsia="宋体" w:cs="宋体"/>
                <w:color w:val="FF0000"/>
                <w:sz w:val="24"/>
                <w:szCs w:val="24"/>
                <w:lang w:val="en-US" w:eastAsia="zh-CN"/>
              </w:rPr>
            </w:pPr>
            <w:r>
              <w:rPr>
                <w:rFonts w:hint="eastAsia" w:ascii="宋体" w:hAnsi="宋体" w:eastAsia="宋体" w:cs="宋体"/>
                <w:color w:val="FF0000"/>
                <w:sz w:val="24"/>
                <w:szCs w:val="24"/>
                <w:lang w:val="en-US" w:eastAsia="zh-CN"/>
              </w:rPr>
              <w:t>性状</w:t>
            </w:r>
          </w:p>
        </w:tc>
        <w:tc>
          <w:tcPr>
            <w:tcW w:w="872" w:type="pct"/>
            <w:tcBorders>
              <w:top w:val="single" w:color="auto" w:sz="4" w:space="0"/>
              <w:left w:val="nil"/>
              <w:bottom w:val="single" w:color="auto" w:sz="4" w:space="0"/>
              <w:right w:val="single" w:color="auto" w:sz="4" w:space="0"/>
            </w:tcBorders>
            <w:shd w:val="clear" w:color="auto" w:fill="auto"/>
            <w:noWrap/>
            <w:vAlign w:val="center"/>
          </w:tcPr>
          <w:p>
            <w:pPr>
              <w:pStyle w:val="16"/>
              <w:spacing w:line="360" w:lineRule="exact"/>
              <w:ind w:firstLine="0" w:firstLineChars="0"/>
              <w:jc w:val="center"/>
              <w:rPr>
                <w:rFonts w:hint="default" w:ascii="宋体" w:hAnsi="宋体" w:eastAsia="宋体" w:cs="宋体"/>
                <w:color w:val="FF0000"/>
                <w:sz w:val="24"/>
                <w:szCs w:val="24"/>
                <w:lang w:val="en-US" w:eastAsia="zh-CN"/>
              </w:rPr>
            </w:pPr>
            <w:r>
              <w:rPr>
                <w:rFonts w:hint="eastAsia" w:ascii="宋体" w:hAnsi="宋体" w:eastAsia="宋体" w:cs="宋体"/>
                <w:color w:val="FF0000"/>
                <w:sz w:val="24"/>
                <w:szCs w:val="24"/>
                <w:lang w:val="en-US" w:eastAsia="zh-CN"/>
              </w:rPr>
              <w:t>单价最高限价</w:t>
            </w:r>
          </w:p>
        </w:tc>
        <w:tc>
          <w:tcPr>
            <w:tcW w:w="988" w:type="pct"/>
            <w:tcBorders>
              <w:top w:val="single" w:color="auto" w:sz="4" w:space="0"/>
              <w:left w:val="nil"/>
              <w:bottom w:val="single" w:color="auto" w:sz="4" w:space="0"/>
              <w:right w:val="single" w:color="auto" w:sz="4" w:space="0"/>
            </w:tcBorders>
            <w:shd w:val="clear" w:color="auto" w:fill="auto"/>
            <w:noWrap/>
            <w:vAlign w:val="center"/>
          </w:tcPr>
          <w:p>
            <w:pPr>
              <w:pStyle w:val="16"/>
              <w:spacing w:line="360" w:lineRule="exact"/>
              <w:ind w:firstLine="0" w:firstLineChars="0"/>
              <w:jc w:val="center"/>
              <w:rPr>
                <w:rFonts w:hint="default" w:ascii="宋体" w:hAnsi="宋体" w:cs="宋体" w:eastAsiaTheme="minorEastAsia"/>
                <w:color w:val="FF0000"/>
                <w:sz w:val="24"/>
                <w:szCs w:val="24"/>
                <w:lang w:val="en-US" w:eastAsia="zh-CN"/>
              </w:rPr>
            </w:pPr>
            <w:r>
              <w:rPr>
                <w:rFonts w:hint="eastAsia"/>
                <w:color w:val="FF0000"/>
                <w:sz w:val="24"/>
                <w:szCs w:val="24"/>
                <w:lang w:val="en-US" w:eastAsia="zh-CN"/>
              </w:rPr>
              <w:t>拟采购数量（克）</w:t>
            </w:r>
          </w:p>
        </w:tc>
        <w:tc>
          <w:tcPr>
            <w:tcW w:w="540" w:type="pct"/>
            <w:tcBorders>
              <w:top w:val="single" w:color="auto" w:sz="4" w:space="0"/>
              <w:left w:val="nil"/>
              <w:bottom w:val="single" w:color="auto" w:sz="4" w:space="0"/>
              <w:right w:val="single" w:color="auto" w:sz="4" w:space="0"/>
            </w:tcBorders>
            <w:shd w:val="clear" w:color="auto" w:fill="auto"/>
            <w:noWrap/>
            <w:vAlign w:val="center"/>
          </w:tcPr>
          <w:p>
            <w:pPr>
              <w:pStyle w:val="16"/>
              <w:spacing w:line="360" w:lineRule="exact"/>
              <w:ind w:firstLine="0" w:firstLineChars="0"/>
              <w:jc w:val="center"/>
              <w:rPr>
                <w:rFonts w:hint="default" w:ascii="宋体" w:hAnsi="宋体" w:eastAsia="宋体" w:cs="宋体"/>
                <w:color w:val="FF0000"/>
                <w:sz w:val="24"/>
                <w:szCs w:val="24"/>
                <w:lang w:val="en-US" w:eastAsia="zh-CN"/>
              </w:rPr>
            </w:pPr>
            <w:r>
              <w:rPr>
                <w:rFonts w:hint="eastAsia" w:ascii="宋体" w:hAnsi="宋体" w:eastAsia="宋体" w:cs="宋体"/>
                <w:color w:val="FF0000"/>
                <w:sz w:val="24"/>
                <w:szCs w:val="24"/>
                <w:lang w:val="en-US" w:eastAsia="zh-CN"/>
              </w:rPr>
              <w:t>拟中标供应商</w:t>
            </w:r>
          </w:p>
        </w:tc>
        <w:tc>
          <w:tcPr>
            <w:tcW w:w="691" w:type="pct"/>
            <w:tcBorders>
              <w:top w:val="single" w:color="auto" w:sz="4" w:space="0"/>
              <w:left w:val="nil"/>
              <w:bottom w:val="single" w:color="auto" w:sz="4" w:space="0"/>
              <w:right w:val="single" w:color="auto" w:sz="4" w:space="0"/>
            </w:tcBorders>
            <w:shd w:val="clear" w:color="auto" w:fill="auto"/>
            <w:noWrap/>
            <w:vAlign w:val="center"/>
          </w:tcPr>
          <w:p>
            <w:pPr>
              <w:pStyle w:val="16"/>
              <w:spacing w:line="360" w:lineRule="exact"/>
              <w:ind w:firstLine="0" w:firstLineChars="0"/>
              <w:jc w:val="center"/>
              <w:rPr>
                <w:rFonts w:hint="eastAsia" w:ascii="宋体" w:hAnsi="宋体" w:eastAsia="宋体" w:cs="宋体"/>
                <w:color w:val="FF0000"/>
                <w:sz w:val="24"/>
                <w:szCs w:val="24"/>
                <w:lang w:val="en-US" w:eastAsia="zh-CN"/>
              </w:rPr>
            </w:pPr>
            <w:r>
              <w:rPr>
                <w:rFonts w:hint="eastAsia" w:ascii="宋体" w:hAnsi="宋体" w:eastAsia="宋体" w:cs="宋体"/>
                <w:color w:val="FF0000"/>
                <w:sz w:val="24"/>
                <w:szCs w:val="24"/>
                <w:lang w:val="en-US" w:eastAsia="zh-CN"/>
              </w:rPr>
              <w:t>备注</w:t>
            </w:r>
          </w:p>
        </w:tc>
      </w:tr>
      <w:tr>
        <w:tblPrEx>
          <w:tblCellMar>
            <w:top w:w="0" w:type="dxa"/>
            <w:left w:w="108" w:type="dxa"/>
            <w:bottom w:w="0" w:type="dxa"/>
            <w:right w:w="108" w:type="dxa"/>
          </w:tblCellMar>
        </w:tblPrEx>
        <w:trPr>
          <w:trHeight w:val="917" w:hRule="atLeast"/>
          <w:jc w:val="center"/>
        </w:trPr>
        <w:tc>
          <w:tcPr>
            <w:tcW w:w="365" w:type="pct"/>
            <w:tcBorders>
              <w:top w:val="nil"/>
              <w:left w:val="single" w:color="auto" w:sz="4" w:space="0"/>
              <w:bottom w:val="single" w:color="auto" w:sz="4" w:space="0"/>
              <w:right w:val="single" w:color="auto" w:sz="4" w:space="0"/>
            </w:tcBorders>
            <w:shd w:val="clear" w:color="auto" w:fill="auto"/>
            <w:vAlign w:val="center"/>
          </w:tcPr>
          <w:p>
            <w:pPr>
              <w:pStyle w:val="16"/>
              <w:spacing w:line="360" w:lineRule="exact"/>
              <w:ind w:firstLine="0" w:firstLineChars="0"/>
              <w:jc w:val="center"/>
              <w:rPr>
                <w:rFonts w:hint="eastAsia" w:ascii="宋体" w:hAnsi="宋体" w:eastAsia="宋体" w:cs="宋体"/>
                <w:color w:val="FF0000"/>
                <w:sz w:val="24"/>
                <w:szCs w:val="24"/>
                <w:lang w:val="en-US" w:eastAsia="zh-CN"/>
              </w:rPr>
            </w:pPr>
            <w:r>
              <w:rPr>
                <w:rFonts w:hint="eastAsia" w:ascii="宋体" w:hAnsi="宋体" w:eastAsia="宋体" w:cs="宋体"/>
                <w:color w:val="FF0000"/>
                <w:sz w:val="24"/>
                <w:szCs w:val="24"/>
                <w:lang w:val="en-US" w:eastAsia="zh-CN"/>
              </w:rPr>
              <w:t>1</w:t>
            </w:r>
          </w:p>
        </w:tc>
        <w:tc>
          <w:tcPr>
            <w:tcW w:w="1017" w:type="pct"/>
            <w:tcBorders>
              <w:top w:val="nil"/>
              <w:left w:val="nil"/>
              <w:bottom w:val="single" w:color="auto" w:sz="4" w:space="0"/>
              <w:right w:val="single" w:color="auto" w:sz="4" w:space="0"/>
            </w:tcBorders>
            <w:shd w:val="clear" w:color="auto" w:fill="auto"/>
            <w:vAlign w:val="center"/>
          </w:tcPr>
          <w:p>
            <w:pPr>
              <w:pStyle w:val="16"/>
              <w:spacing w:line="360" w:lineRule="exact"/>
              <w:ind w:firstLine="0" w:firstLineChars="0"/>
              <w:jc w:val="center"/>
              <w:rPr>
                <w:rFonts w:hint="eastAsia" w:ascii="宋体" w:hAnsi="宋体" w:eastAsia="宋体" w:cs="宋体"/>
                <w:color w:val="FF0000"/>
                <w:sz w:val="24"/>
                <w:szCs w:val="24"/>
                <w:lang w:val="en-US" w:eastAsia="zh-CN"/>
              </w:rPr>
            </w:pPr>
            <w:r>
              <w:rPr>
                <w:rFonts w:hint="eastAsia" w:ascii="宋体" w:hAnsi="宋体" w:eastAsia="宋体" w:cs="宋体"/>
                <w:color w:val="FF0000"/>
                <w:sz w:val="24"/>
                <w:szCs w:val="24"/>
                <w:lang w:val="en-US" w:eastAsia="zh-CN"/>
              </w:rPr>
              <w:t>乳蛋白部分水解婴儿配方奶粉</w:t>
            </w:r>
          </w:p>
        </w:tc>
        <w:tc>
          <w:tcPr>
            <w:tcW w:w="523" w:type="pct"/>
            <w:tcBorders>
              <w:top w:val="nil"/>
              <w:left w:val="nil"/>
              <w:bottom w:val="single" w:color="auto" w:sz="4" w:space="0"/>
              <w:right w:val="single" w:color="auto" w:sz="4" w:space="0"/>
            </w:tcBorders>
            <w:shd w:val="clear" w:color="auto" w:fill="auto"/>
            <w:vAlign w:val="center"/>
          </w:tcPr>
          <w:p>
            <w:pPr>
              <w:pStyle w:val="16"/>
              <w:spacing w:line="360" w:lineRule="exact"/>
              <w:ind w:firstLine="0" w:firstLineChars="0"/>
              <w:jc w:val="center"/>
              <w:rPr>
                <w:rFonts w:hint="eastAsia" w:ascii="宋体" w:hAnsi="宋体" w:eastAsia="宋体" w:cs="宋体"/>
                <w:color w:val="FF0000"/>
                <w:sz w:val="24"/>
                <w:szCs w:val="24"/>
                <w:lang w:val="en-US" w:eastAsia="zh-CN"/>
              </w:rPr>
            </w:pPr>
            <w:r>
              <w:rPr>
                <w:rFonts w:hint="eastAsia" w:ascii="宋体" w:hAnsi="宋体" w:eastAsia="宋体" w:cs="宋体"/>
                <w:color w:val="FF0000"/>
                <w:sz w:val="24"/>
                <w:szCs w:val="24"/>
                <w:lang w:val="en-US" w:eastAsia="zh-CN"/>
              </w:rPr>
              <w:t>粉剂</w:t>
            </w:r>
          </w:p>
        </w:tc>
        <w:tc>
          <w:tcPr>
            <w:tcW w:w="872" w:type="pct"/>
            <w:tcBorders>
              <w:top w:val="nil"/>
              <w:left w:val="nil"/>
              <w:bottom w:val="single" w:color="auto" w:sz="4" w:space="0"/>
              <w:right w:val="single" w:color="auto" w:sz="4" w:space="0"/>
            </w:tcBorders>
            <w:shd w:val="clear" w:color="auto" w:fill="auto"/>
            <w:vAlign w:val="center"/>
          </w:tcPr>
          <w:p>
            <w:pPr>
              <w:pStyle w:val="16"/>
              <w:spacing w:line="360" w:lineRule="exact"/>
              <w:ind w:firstLine="0" w:firstLineChars="0"/>
              <w:jc w:val="center"/>
              <w:rPr>
                <w:rFonts w:hint="default" w:ascii="宋体" w:hAnsi="宋体" w:eastAsia="宋体" w:cs="宋体"/>
                <w:color w:val="FF0000"/>
                <w:sz w:val="24"/>
                <w:szCs w:val="24"/>
                <w:lang w:val="en-US" w:eastAsia="zh-CN"/>
              </w:rPr>
            </w:pPr>
            <w:r>
              <w:rPr>
                <w:rFonts w:hint="eastAsia" w:ascii="宋体" w:hAnsi="宋体" w:eastAsia="宋体" w:cs="宋体"/>
                <w:color w:val="FF0000"/>
                <w:sz w:val="24"/>
                <w:szCs w:val="24"/>
                <w:lang w:val="en-US" w:eastAsia="zh-CN"/>
              </w:rPr>
              <w:t>0.14元/克</w:t>
            </w:r>
          </w:p>
        </w:tc>
        <w:tc>
          <w:tcPr>
            <w:tcW w:w="988" w:type="pct"/>
            <w:tcBorders>
              <w:top w:val="nil"/>
              <w:left w:val="nil"/>
              <w:bottom w:val="single" w:color="auto" w:sz="4" w:space="0"/>
              <w:right w:val="single" w:color="auto" w:sz="4" w:space="0"/>
            </w:tcBorders>
            <w:shd w:val="clear" w:color="auto" w:fill="auto"/>
            <w:vAlign w:val="center"/>
          </w:tcPr>
          <w:p>
            <w:pPr>
              <w:pStyle w:val="16"/>
              <w:spacing w:line="360" w:lineRule="exact"/>
              <w:ind w:firstLine="0" w:firstLineChars="0"/>
              <w:jc w:val="center"/>
              <w:rPr>
                <w:rFonts w:hint="default" w:ascii="宋体" w:hAnsi="宋体" w:eastAsia="宋体" w:cs="宋体"/>
                <w:color w:val="FF0000"/>
                <w:sz w:val="24"/>
                <w:szCs w:val="24"/>
                <w:lang w:val="en-US" w:eastAsia="zh-CN"/>
              </w:rPr>
            </w:pPr>
            <w:r>
              <w:rPr>
                <w:rFonts w:hint="eastAsia" w:ascii="宋体" w:hAnsi="宋体" w:eastAsia="宋体" w:cs="宋体"/>
                <w:color w:val="FF0000"/>
                <w:sz w:val="24"/>
                <w:szCs w:val="24"/>
                <w:lang w:val="en-US" w:eastAsia="zh-CN"/>
              </w:rPr>
              <w:t>450000克</w:t>
            </w:r>
          </w:p>
        </w:tc>
        <w:tc>
          <w:tcPr>
            <w:tcW w:w="540" w:type="pct"/>
            <w:vMerge w:val="restart"/>
            <w:tcBorders>
              <w:top w:val="nil"/>
              <w:left w:val="nil"/>
              <w:right w:val="single" w:color="auto" w:sz="4" w:space="0"/>
            </w:tcBorders>
            <w:shd w:val="clear" w:color="auto" w:fill="auto"/>
            <w:vAlign w:val="center"/>
          </w:tcPr>
          <w:p>
            <w:pPr>
              <w:pStyle w:val="16"/>
              <w:tabs>
                <w:tab w:val="left" w:pos="477"/>
                <w:tab w:val="center" w:pos="732"/>
              </w:tabs>
              <w:spacing w:line="360" w:lineRule="exact"/>
              <w:ind w:firstLine="0" w:firstLineChars="0"/>
              <w:jc w:val="center"/>
              <w:rPr>
                <w:rFonts w:hint="default" w:ascii="宋体" w:hAnsi="宋体" w:eastAsia="宋体" w:cs="宋体"/>
                <w:color w:val="FF0000"/>
                <w:sz w:val="24"/>
                <w:szCs w:val="24"/>
                <w:lang w:val="en-US" w:eastAsia="zh-CN"/>
              </w:rPr>
            </w:pPr>
            <w:r>
              <w:rPr>
                <w:rFonts w:hint="eastAsia" w:ascii="宋体" w:hAnsi="宋体" w:eastAsia="宋体" w:cs="宋体"/>
                <w:i w:val="0"/>
                <w:iCs w:val="0"/>
                <w:caps w:val="0"/>
                <w:color w:val="FF0000"/>
                <w:spacing w:val="0"/>
                <w:sz w:val="24"/>
                <w:szCs w:val="24"/>
                <w:shd w:val="clear"/>
                <w:lang w:val="en-US" w:eastAsia="zh-CN"/>
              </w:rPr>
              <w:t>2名</w:t>
            </w:r>
          </w:p>
          <w:p>
            <w:pPr>
              <w:pStyle w:val="16"/>
              <w:spacing w:line="360" w:lineRule="exact"/>
              <w:ind w:firstLine="0" w:firstLineChars="0"/>
              <w:jc w:val="center"/>
              <w:rPr>
                <w:rFonts w:hint="eastAsia" w:ascii="宋体" w:hAnsi="宋体" w:eastAsia="宋体" w:cs="宋体"/>
                <w:color w:val="FF0000"/>
                <w:sz w:val="24"/>
                <w:szCs w:val="24"/>
                <w:lang w:val="en-US" w:eastAsia="zh-CN"/>
              </w:rPr>
            </w:pPr>
          </w:p>
          <w:p>
            <w:pPr>
              <w:pStyle w:val="16"/>
              <w:spacing w:line="360" w:lineRule="exact"/>
              <w:ind w:firstLine="0" w:firstLineChars="0"/>
              <w:jc w:val="center"/>
              <w:rPr>
                <w:rFonts w:hint="eastAsia" w:ascii="宋体" w:hAnsi="宋体" w:eastAsia="宋体" w:cs="宋体"/>
                <w:color w:val="FF0000"/>
                <w:sz w:val="24"/>
                <w:szCs w:val="24"/>
                <w:lang w:val="en-US" w:eastAsia="zh-CN"/>
              </w:rPr>
            </w:pPr>
          </w:p>
        </w:tc>
        <w:tc>
          <w:tcPr>
            <w:tcW w:w="691" w:type="pct"/>
            <w:vMerge w:val="restart"/>
            <w:tcBorders>
              <w:top w:val="nil"/>
              <w:left w:val="nil"/>
              <w:right w:val="single" w:color="auto" w:sz="4" w:space="0"/>
            </w:tcBorders>
            <w:shd w:val="clear" w:color="auto" w:fill="auto"/>
            <w:vAlign w:val="center"/>
          </w:tcPr>
          <w:p>
            <w:pPr>
              <w:pStyle w:val="16"/>
              <w:tabs>
                <w:tab w:val="left" w:pos="477"/>
                <w:tab w:val="center" w:pos="732"/>
              </w:tabs>
              <w:spacing w:line="360" w:lineRule="exact"/>
              <w:ind w:firstLine="0" w:firstLineChars="0"/>
              <w:jc w:val="center"/>
              <w:rPr>
                <w:rFonts w:hint="eastAsia" w:ascii="宋体" w:hAnsi="宋体" w:eastAsia="宋体" w:cs="宋体"/>
                <w:color w:val="FF0000"/>
                <w:sz w:val="24"/>
                <w:szCs w:val="24"/>
                <w:lang w:val="en-US" w:eastAsia="zh-CN"/>
              </w:rPr>
            </w:pPr>
            <w:r>
              <w:rPr>
                <w:rFonts w:hint="eastAsia" w:ascii="宋体" w:hAnsi="宋体" w:eastAsia="宋体" w:cs="宋体"/>
                <w:i w:val="0"/>
                <w:iCs w:val="0"/>
                <w:caps w:val="0"/>
                <w:color w:val="FF0000"/>
                <w:spacing w:val="0"/>
                <w:sz w:val="24"/>
                <w:szCs w:val="24"/>
                <w:shd w:val="clear"/>
              </w:rPr>
              <w:t>按实际结算达到预算金额</w:t>
            </w:r>
            <w:r>
              <w:rPr>
                <w:rFonts w:hint="eastAsia" w:ascii="宋体" w:hAnsi="宋体" w:eastAsia="宋体" w:cs="宋体"/>
                <w:i w:val="0"/>
                <w:iCs w:val="0"/>
                <w:caps w:val="0"/>
                <w:color w:val="FF0000"/>
                <w:spacing w:val="0"/>
                <w:sz w:val="24"/>
                <w:szCs w:val="24"/>
                <w:shd w:val="clear"/>
                <w:lang w:eastAsia="zh-CN"/>
              </w:rPr>
              <w:t>1</w:t>
            </w:r>
            <w:r>
              <w:rPr>
                <w:rFonts w:hint="eastAsia" w:ascii="宋体" w:hAnsi="宋体" w:eastAsia="宋体" w:cs="宋体"/>
                <w:i w:val="0"/>
                <w:iCs w:val="0"/>
                <w:caps w:val="0"/>
                <w:color w:val="FF0000"/>
                <w:spacing w:val="0"/>
                <w:sz w:val="24"/>
                <w:szCs w:val="24"/>
                <w:shd w:val="clear" w:fill="auto"/>
              </w:rPr>
              <w:t>年供货期完结，合同履行结束。</w:t>
            </w:r>
          </w:p>
          <w:p>
            <w:pPr>
              <w:pStyle w:val="16"/>
              <w:spacing w:line="360" w:lineRule="exact"/>
              <w:ind w:firstLine="0" w:firstLineChars="0"/>
              <w:jc w:val="center"/>
              <w:rPr>
                <w:rFonts w:hint="eastAsia" w:ascii="宋体" w:hAnsi="宋体" w:eastAsia="宋体" w:cs="宋体"/>
                <w:color w:val="FF0000"/>
                <w:sz w:val="24"/>
                <w:szCs w:val="24"/>
                <w:lang w:val="en-US" w:eastAsia="zh-CN"/>
              </w:rPr>
            </w:pPr>
          </w:p>
          <w:p>
            <w:pPr>
              <w:pStyle w:val="16"/>
              <w:spacing w:line="360" w:lineRule="exact"/>
              <w:ind w:firstLine="0" w:firstLineChars="0"/>
              <w:jc w:val="center"/>
              <w:rPr>
                <w:rFonts w:hint="eastAsia" w:ascii="宋体" w:hAnsi="宋体" w:eastAsia="宋体" w:cs="宋体"/>
                <w:color w:val="FF0000"/>
                <w:sz w:val="24"/>
                <w:szCs w:val="24"/>
                <w:lang w:val="en-US" w:eastAsia="zh-CN"/>
              </w:rPr>
            </w:pPr>
          </w:p>
        </w:tc>
      </w:tr>
      <w:tr>
        <w:tblPrEx>
          <w:tblCellMar>
            <w:top w:w="0" w:type="dxa"/>
            <w:left w:w="108" w:type="dxa"/>
            <w:bottom w:w="0" w:type="dxa"/>
            <w:right w:w="108" w:type="dxa"/>
          </w:tblCellMar>
        </w:tblPrEx>
        <w:trPr>
          <w:trHeight w:val="916" w:hRule="atLeast"/>
          <w:jc w:val="center"/>
        </w:trPr>
        <w:tc>
          <w:tcPr>
            <w:tcW w:w="365" w:type="pct"/>
            <w:tcBorders>
              <w:top w:val="nil"/>
              <w:left w:val="single" w:color="auto" w:sz="4" w:space="0"/>
              <w:bottom w:val="single" w:color="auto" w:sz="4" w:space="0"/>
              <w:right w:val="single" w:color="auto" w:sz="4" w:space="0"/>
            </w:tcBorders>
            <w:shd w:val="clear" w:color="auto" w:fill="auto"/>
            <w:vAlign w:val="center"/>
          </w:tcPr>
          <w:p>
            <w:pPr>
              <w:pStyle w:val="16"/>
              <w:spacing w:line="360" w:lineRule="exact"/>
              <w:ind w:firstLine="0" w:firstLineChars="0"/>
              <w:jc w:val="center"/>
              <w:rPr>
                <w:rFonts w:hint="eastAsia" w:ascii="宋体" w:hAnsi="宋体" w:eastAsia="宋体" w:cs="宋体"/>
                <w:color w:val="FF0000"/>
                <w:sz w:val="24"/>
                <w:szCs w:val="24"/>
                <w:lang w:val="en-US" w:eastAsia="zh-CN"/>
              </w:rPr>
            </w:pPr>
            <w:r>
              <w:rPr>
                <w:rFonts w:hint="eastAsia" w:ascii="宋体" w:hAnsi="宋体" w:eastAsia="宋体" w:cs="宋体"/>
                <w:color w:val="FF0000"/>
                <w:sz w:val="24"/>
                <w:szCs w:val="24"/>
                <w:lang w:val="en-US" w:eastAsia="zh-CN"/>
              </w:rPr>
              <w:t>2</w:t>
            </w:r>
          </w:p>
        </w:tc>
        <w:tc>
          <w:tcPr>
            <w:tcW w:w="1017" w:type="pct"/>
            <w:tcBorders>
              <w:top w:val="nil"/>
              <w:left w:val="nil"/>
              <w:bottom w:val="single" w:color="auto" w:sz="4" w:space="0"/>
              <w:right w:val="single" w:color="auto" w:sz="4" w:space="0"/>
            </w:tcBorders>
            <w:shd w:val="clear" w:color="auto" w:fill="auto"/>
            <w:vAlign w:val="center"/>
          </w:tcPr>
          <w:p>
            <w:pPr>
              <w:pStyle w:val="16"/>
              <w:spacing w:line="360" w:lineRule="exact"/>
              <w:ind w:firstLine="0" w:firstLineChars="0"/>
              <w:jc w:val="center"/>
              <w:rPr>
                <w:rFonts w:hint="eastAsia" w:ascii="宋体" w:hAnsi="宋体" w:eastAsia="宋体" w:cs="宋体"/>
                <w:color w:val="FF0000"/>
                <w:sz w:val="24"/>
                <w:szCs w:val="24"/>
                <w:lang w:val="en-US" w:eastAsia="zh-CN"/>
              </w:rPr>
            </w:pPr>
            <w:r>
              <w:rPr>
                <w:rFonts w:hint="eastAsia" w:ascii="宋体" w:hAnsi="宋体" w:eastAsia="宋体" w:cs="宋体"/>
                <w:color w:val="FF0000"/>
                <w:sz w:val="24"/>
                <w:szCs w:val="24"/>
                <w:lang w:val="en-US" w:eastAsia="zh-CN"/>
              </w:rPr>
              <w:t>早产/低出生体重婴儿配方奶粉</w:t>
            </w:r>
          </w:p>
        </w:tc>
        <w:tc>
          <w:tcPr>
            <w:tcW w:w="523" w:type="pct"/>
            <w:tcBorders>
              <w:top w:val="nil"/>
              <w:left w:val="nil"/>
              <w:bottom w:val="single" w:color="auto" w:sz="4" w:space="0"/>
              <w:right w:val="single" w:color="auto" w:sz="4" w:space="0"/>
            </w:tcBorders>
            <w:shd w:val="clear" w:color="auto" w:fill="auto"/>
            <w:vAlign w:val="center"/>
          </w:tcPr>
          <w:p>
            <w:pPr>
              <w:pStyle w:val="16"/>
              <w:spacing w:line="360" w:lineRule="exact"/>
              <w:ind w:firstLine="0" w:firstLineChars="0"/>
              <w:jc w:val="center"/>
              <w:rPr>
                <w:rFonts w:hint="eastAsia" w:ascii="宋体" w:hAnsi="宋体" w:eastAsia="宋体" w:cs="宋体"/>
                <w:color w:val="FF0000"/>
                <w:sz w:val="24"/>
                <w:szCs w:val="24"/>
                <w:lang w:val="en-US" w:eastAsia="zh-CN"/>
              </w:rPr>
            </w:pPr>
            <w:r>
              <w:rPr>
                <w:rFonts w:hint="eastAsia" w:ascii="宋体" w:hAnsi="宋体" w:eastAsia="宋体" w:cs="宋体"/>
                <w:color w:val="FF0000"/>
                <w:sz w:val="24"/>
                <w:szCs w:val="24"/>
                <w:lang w:val="en-US" w:eastAsia="zh-CN"/>
              </w:rPr>
              <w:t>粉剂</w:t>
            </w:r>
          </w:p>
        </w:tc>
        <w:tc>
          <w:tcPr>
            <w:tcW w:w="872" w:type="pct"/>
            <w:tcBorders>
              <w:top w:val="nil"/>
              <w:left w:val="nil"/>
              <w:bottom w:val="single" w:color="auto" w:sz="4" w:space="0"/>
              <w:right w:val="single" w:color="auto" w:sz="4" w:space="0"/>
            </w:tcBorders>
            <w:shd w:val="clear" w:color="auto" w:fill="auto"/>
            <w:vAlign w:val="center"/>
          </w:tcPr>
          <w:p>
            <w:pPr>
              <w:pStyle w:val="16"/>
              <w:spacing w:line="360" w:lineRule="exact"/>
              <w:ind w:firstLine="0" w:firstLineChars="0"/>
              <w:jc w:val="center"/>
              <w:rPr>
                <w:rFonts w:hint="eastAsia" w:ascii="宋体" w:hAnsi="宋体" w:eastAsia="宋体" w:cs="宋体"/>
                <w:color w:val="FF0000"/>
                <w:sz w:val="24"/>
                <w:szCs w:val="24"/>
                <w:lang w:val="en-US" w:eastAsia="zh-CN"/>
              </w:rPr>
            </w:pPr>
            <w:r>
              <w:rPr>
                <w:rFonts w:hint="eastAsia" w:ascii="宋体" w:hAnsi="宋体" w:eastAsia="宋体" w:cs="宋体"/>
                <w:color w:val="FF0000"/>
                <w:sz w:val="24"/>
                <w:szCs w:val="24"/>
                <w:lang w:val="en-US" w:eastAsia="zh-CN"/>
              </w:rPr>
              <w:t>0.14元/克</w:t>
            </w:r>
          </w:p>
        </w:tc>
        <w:tc>
          <w:tcPr>
            <w:tcW w:w="988" w:type="pct"/>
            <w:tcBorders>
              <w:top w:val="nil"/>
              <w:left w:val="nil"/>
              <w:bottom w:val="single" w:color="auto" w:sz="4" w:space="0"/>
              <w:right w:val="single" w:color="auto" w:sz="4" w:space="0"/>
            </w:tcBorders>
            <w:shd w:val="clear" w:color="auto" w:fill="auto"/>
            <w:vAlign w:val="center"/>
          </w:tcPr>
          <w:p>
            <w:pPr>
              <w:pStyle w:val="16"/>
              <w:spacing w:line="360" w:lineRule="exact"/>
              <w:ind w:firstLine="0" w:firstLineChars="0"/>
              <w:jc w:val="center"/>
              <w:rPr>
                <w:rFonts w:hint="default" w:ascii="宋体" w:hAnsi="宋体" w:eastAsia="宋体" w:cs="宋体"/>
                <w:color w:val="FF0000"/>
                <w:sz w:val="24"/>
                <w:szCs w:val="24"/>
                <w:lang w:val="en-US" w:eastAsia="zh-CN"/>
              </w:rPr>
            </w:pPr>
            <w:r>
              <w:rPr>
                <w:rFonts w:hint="eastAsia" w:ascii="宋体" w:hAnsi="宋体" w:eastAsia="宋体" w:cs="宋体"/>
                <w:color w:val="FF0000"/>
                <w:sz w:val="24"/>
                <w:szCs w:val="24"/>
                <w:lang w:val="en-US" w:eastAsia="zh-CN"/>
              </w:rPr>
              <w:t>250000克</w:t>
            </w:r>
          </w:p>
        </w:tc>
        <w:tc>
          <w:tcPr>
            <w:tcW w:w="540" w:type="pct"/>
            <w:vMerge w:val="continue"/>
            <w:tcBorders>
              <w:left w:val="nil"/>
              <w:right w:val="single" w:color="auto" w:sz="4" w:space="0"/>
            </w:tcBorders>
            <w:shd w:val="clear" w:color="auto" w:fill="auto"/>
            <w:vAlign w:val="center"/>
          </w:tcPr>
          <w:p>
            <w:pPr>
              <w:pStyle w:val="16"/>
              <w:spacing w:line="360" w:lineRule="exact"/>
              <w:ind w:firstLine="0" w:firstLineChars="0"/>
              <w:jc w:val="center"/>
              <w:rPr>
                <w:rFonts w:hint="eastAsia" w:ascii="宋体" w:hAnsi="宋体" w:eastAsia="宋体" w:cs="宋体"/>
                <w:color w:val="000000" w:themeColor="text1"/>
                <w:sz w:val="24"/>
                <w:szCs w:val="24"/>
                <w:lang w:val="en-US" w:eastAsia="zh-CN"/>
                <w14:textFill>
                  <w14:solidFill>
                    <w14:schemeClr w14:val="tx1"/>
                  </w14:solidFill>
                </w14:textFill>
              </w:rPr>
            </w:pPr>
          </w:p>
        </w:tc>
        <w:tc>
          <w:tcPr>
            <w:tcW w:w="691" w:type="pct"/>
            <w:vMerge w:val="continue"/>
            <w:tcBorders>
              <w:left w:val="nil"/>
              <w:right w:val="single" w:color="auto" w:sz="4" w:space="0"/>
            </w:tcBorders>
            <w:shd w:val="clear" w:color="auto" w:fill="auto"/>
            <w:vAlign w:val="center"/>
          </w:tcPr>
          <w:p>
            <w:pPr>
              <w:pStyle w:val="16"/>
              <w:spacing w:line="360" w:lineRule="exact"/>
              <w:ind w:firstLine="0" w:firstLineChars="0"/>
              <w:jc w:val="center"/>
              <w:rPr>
                <w:rFonts w:hint="eastAsia" w:ascii="宋体" w:hAnsi="宋体" w:eastAsia="宋体" w:cs="宋体"/>
                <w:color w:val="000000" w:themeColor="text1"/>
                <w:sz w:val="24"/>
                <w:szCs w:val="24"/>
                <w:lang w:val="en-US" w:eastAsia="zh-CN"/>
                <w14:textFill>
                  <w14:solidFill>
                    <w14:schemeClr w14:val="tx1"/>
                  </w14:solidFill>
                </w14:textFill>
              </w:rPr>
            </w:pPr>
          </w:p>
        </w:tc>
      </w:tr>
      <w:tr>
        <w:tblPrEx>
          <w:tblCellMar>
            <w:top w:w="0" w:type="dxa"/>
            <w:left w:w="108" w:type="dxa"/>
            <w:bottom w:w="0" w:type="dxa"/>
            <w:right w:w="108" w:type="dxa"/>
          </w:tblCellMar>
        </w:tblPrEx>
        <w:trPr>
          <w:trHeight w:val="1392" w:hRule="atLeast"/>
          <w:jc w:val="center"/>
        </w:trPr>
        <w:tc>
          <w:tcPr>
            <w:tcW w:w="365" w:type="pct"/>
            <w:tcBorders>
              <w:top w:val="nil"/>
              <w:left w:val="single" w:color="auto" w:sz="4" w:space="0"/>
              <w:bottom w:val="single" w:color="auto" w:sz="4" w:space="0"/>
              <w:right w:val="single" w:color="auto" w:sz="4" w:space="0"/>
            </w:tcBorders>
            <w:shd w:val="clear" w:color="auto" w:fill="auto"/>
            <w:vAlign w:val="center"/>
          </w:tcPr>
          <w:p>
            <w:pPr>
              <w:pStyle w:val="16"/>
              <w:spacing w:line="360" w:lineRule="exact"/>
              <w:ind w:firstLine="0" w:firstLineChars="0"/>
              <w:jc w:val="center"/>
              <w:rPr>
                <w:rFonts w:hint="eastAsia" w:ascii="宋体" w:hAnsi="宋体" w:eastAsia="宋体" w:cs="宋体"/>
                <w:color w:val="FF0000"/>
                <w:sz w:val="24"/>
                <w:szCs w:val="24"/>
                <w:lang w:val="en-US" w:eastAsia="zh-CN"/>
              </w:rPr>
            </w:pPr>
            <w:r>
              <w:rPr>
                <w:rFonts w:hint="eastAsia" w:ascii="宋体" w:hAnsi="宋体" w:eastAsia="宋体" w:cs="宋体"/>
                <w:color w:val="FF0000"/>
                <w:sz w:val="24"/>
                <w:szCs w:val="24"/>
                <w:lang w:val="en-US" w:eastAsia="zh-CN"/>
              </w:rPr>
              <w:t>3</w:t>
            </w:r>
          </w:p>
        </w:tc>
        <w:tc>
          <w:tcPr>
            <w:tcW w:w="1017" w:type="pct"/>
            <w:tcBorders>
              <w:top w:val="nil"/>
              <w:left w:val="nil"/>
              <w:bottom w:val="single" w:color="auto" w:sz="4" w:space="0"/>
              <w:right w:val="single" w:color="auto" w:sz="4" w:space="0"/>
            </w:tcBorders>
            <w:shd w:val="clear" w:color="auto" w:fill="auto"/>
            <w:vAlign w:val="center"/>
          </w:tcPr>
          <w:p>
            <w:pPr>
              <w:pStyle w:val="16"/>
              <w:spacing w:line="360" w:lineRule="exact"/>
              <w:ind w:firstLine="0" w:firstLineChars="0"/>
              <w:jc w:val="center"/>
              <w:rPr>
                <w:rFonts w:hint="eastAsia" w:ascii="宋体" w:hAnsi="宋体" w:eastAsia="宋体" w:cs="宋体"/>
                <w:color w:val="FF0000"/>
                <w:sz w:val="24"/>
                <w:szCs w:val="24"/>
                <w:lang w:val="en-US" w:eastAsia="zh-CN"/>
              </w:rPr>
            </w:pPr>
            <w:r>
              <w:rPr>
                <w:rFonts w:hint="eastAsia" w:ascii="宋体" w:hAnsi="宋体" w:eastAsia="宋体" w:cs="宋体"/>
                <w:color w:val="FF0000"/>
                <w:sz w:val="24"/>
                <w:szCs w:val="24"/>
                <w:lang w:val="en-US" w:eastAsia="zh-CN"/>
              </w:rPr>
              <w:t>乳蛋白深度水解婴儿蛋白奶粉</w:t>
            </w:r>
          </w:p>
        </w:tc>
        <w:tc>
          <w:tcPr>
            <w:tcW w:w="523" w:type="pct"/>
            <w:tcBorders>
              <w:top w:val="nil"/>
              <w:left w:val="nil"/>
              <w:bottom w:val="single" w:color="auto" w:sz="4" w:space="0"/>
              <w:right w:val="single" w:color="auto" w:sz="4" w:space="0"/>
            </w:tcBorders>
            <w:shd w:val="clear" w:color="auto" w:fill="auto"/>
            <w:vAlign w:val="center"/>
          </w:tcPr>
          <w:p>
            <w:pPr>
              <w:pStyle w:val="16"/>
              <w:spacing w:line="360" w:lineRule="exact"/>
              <w:ind w:firstLine="0" w:firstLineChars="0"/>
              <w:jc w:val="center"/>
              <w:rPr>
                <w:rFonts w:hint="eastAsia" w:ascii="宋体" w:hAnsi="宋体" w:eastAsia="宋体" w:cs="宋体"/>
                <w:color w:val="FF0000"/>
                <w:sz w:val="24"/>
                <w:szCs w:val="24"/>
                <w:lang w:val="en-US" w:eastAsia="zh-CN"/>
              </w:rPr>
            </w:pPr>
            <w:r>
              <w:rPr>
                <w:rFonts w:hint="eastAsia" w:ascii="宋体" w:hAnsi="宋体" w:eastAsia="宋体" w:cs="宋体"/>
                <w:color w:val="FF0000"/>
                <w:sz w:val="24"/>
                <w:szCs w:val="24"/>
                <w:lang w:val="en-US" w:eastAsia="zh-CN"/>
              </w:rPr>
              <w:t>粉剂</w:t>
            </w:r>
          </w:p>
        </w:tc>
        <w:tc>
          <w:tcPr>
            <w:tcW w:w="872" w:type="pct"/>
            <w:tcBorders>
              <w:top w:val="nil"/>
              <w:left w:val="nil"/>
              <w:bottom w:val="single" w:color="auto" w:sz="4" w:space="0"/>
              <w:right w:val="single" w:color="auto" w:sz="4" w:space="0"/>
            </w:tcBorders>
            <w:shd w:val="clear" w:color="auto" w:fill="auto"/>
            <w:vAlign w:val="center"/>
          </w:tcPr>
          <w:p>
            <w:pPr>
              <w:pStyle w:val="16"/>
              <w:spacing w:line="360" w:lineRule="exact"/>
              <w:ind w:firstLine="0" w:firstLineChars="0"/>
              <w:jc w:val="center"/>
              <w:rPr>
                <w:rFonts w:hint="eastAsia" w:ascii="宋体" w:hAnsi="宋体" w:eastAsia="宋体" w:cs="宋体"/>
                <w:color w:val="FF0000"/>
                <w:sz w:val="24"/>
                <w:szCs w:val="24"/>
                <w:lang w:val="en-US" w:eastAsia="zh-CN"/>
              </w:rPr>
            </w:pPr>
            <w:r>
              <w:rPr>
                <w:rFonts w:hint="eastAsia" w:ascii="宋体" w:hAnsi="宋体" w:eastAsia="宋体" w:cs="宋体"/>
                <w:color w:val="FF0000"/>
                <w:sz w:val="24"/>
                <w:szCs w:val="24"/>
                <w:lang w:val="en-US" w:eastAsia="zh-CN"/>
              </w:rPr>
              <w:t>0.8元/克</w:t>
            </w:r>
          </w:p>
        </w:tc>
        <w:tc>
          <w:tcPr>
            <w:tcW w:w="988" w:type="pct"/>
            <w:tcBorders>
              <w:top w:val="nil"/>
              <w:left w:val="nil"/>
              <w:bottom w:val="single" w:color="auto" w:sz="4" w:space="0"/>
              <w:right w:val="single" w:color="auto" w:sz="4" w:space="0"/>
            </w:tcBorders>
            <w:shd w:val="clear" w:color="auto" w:fill="auto"/>
            <w:vAlign w:val="center"/>
          </w:tcPr>
          <w:p>
            <w:pPr>
              <w:pStyle w:val="16"/>
              <w:spacing w:line="360" w:lineRule="exact"/>
              <w:ind w:firstLine="0" w:firstLineChars="0"/>
              <w:jc w:val="center"/>
              <w:rPr>
                <w:rFonts w:hint="default" w:ascii="宋体" w:hAnsi="宋体" w:eastAsia="宋体" w:cs="宋体"/>
                <w:color w:val="FF0000"/>
                <w:sz w:val="24"/>
                <w:szCs w:val="24"/>
                <w:lang w:val="en-US" w:eastAsia="zh-CN"/>
              </w:rPr>
            </w:pPr>
            <w:r>
              <w:rPr>
                <w:rFonts w:hint="eastAsia" w:ascii="宋体" w:hAnsi="宋体" w:eastAsia="宋体" w:cs="宋体"/>
                <w:color w:val="FF0000"/>
                <w:sz w:val="24"/>
                <w:szCs w:val="24"/>
                <w:lang w:val="en-US" w:eastAsia="zh-CN"/>
              </w:rPr>
              <w:t>4000g</w:t>
            </w:r>
          </w:p>
        </w:tc>
        <w:tc>
          <w:tcPr>
            <w:tcW w:w="540" w:type="pct"/>
            <w:vMerge w:val="continue"/>
            <w:tcBorders>
              <w:left w:val="nil"/>
              <w:bottom w:val="single" w:color="auto" w:sz="4" w:space="0"/>
              <w:right w:val="single" w:color="auto" w:sz="4" w:space="0"/>
            </w:tcBorders>
            <w:shd w:val="clear" w:color="auto" w:fill="auto"/>
            <w:vAlign w:val="center"/>
          </w:tcPr>
          <w:p>
            <w:pPr>
              <w:pStyle w:val="16"/>
              <w:spacing w:line="360" w:lineRule="exact"/>
              <w:ind w:firstLine="0" w:firstLineChars="0"/>
              <w:jc w:val="center"/>
              <w:rPr>
                <w:rFonts w:hint="eastAsia" w:ascii="宋体" w:hAnsi="宋体" w:eastAsia="宋体" w:cs="宋体"/>
                <w:color w:val="000000" w:themeColor="text1"/>
                <w:sz w:val="24"/>
                <w:szCs w:val="24"/>
                <w:lang w:val="en-US" w:eastAsia="zh-CN"/>
                <w14:textFill>
                  <w14:solidFill>
                    <w14:schemeClr w14:val="tx1"/>
                  </w14:solidFill>
                </w14:textFill>
              </w:rPr>
            </w:pPr>
          </w:p>
        </w:tc>
        <w:tc>
          <w:tcPr>
            <w:tcW w:w="691" w:type="pct"/>
            <w:vMerge w:val="continue"/>
            <w:tcBorders>
              <w:left w:val="nil"/>
              <w:bottom w:val="single" w:color="auto" w:sz="4" w:space="0"/>
              <w:right w:val="single" w:color="auto" w:sz="4" w:space="0"/>
            </w:tcBorders>
            <w:shd w:val="clear" w:color="auto" w:fill="auto"/>
            <w:vAlign w:val="center"/>
          </w:tcPr>
          <w:p>
            <w:pPr>
              <w:pStyle w:val="16"/>
              <w:spacing w:line="360" w:lineRule="exact"/>
              <w:ind w:firstLine="0" w:firstLineChars="0"/>
              <w:jc w:val="center"/>
              <w:rPr>
                <w:rFonts w:hint="eastAsia" w:ascii="宋体" w:hAnsi="宋体" w:eastAsia="宋体" w:cs="宋体"/>
                <w:color w:val="000000" w:themeColor="text1"/>
                <w:sz w:val="24"/>
                <w:szCs w:val="24"/>
                <w:lang w:val="en-US" w:eastAsia="zh-CN"/>
                <w14:textFill>
                  <w14:solidFill>
                    <w14:schemeClr w14:val="tx1"/>
                  </w14:solidFill>
                </w14:textFill>
              </w:rPr>
            </w:pPr>
          </w:p>
        </w:tc>
      </w:tr>
    </w:tbl>
    <w:p>
      <w:pPr>
        <w:spacing w:line="360" w:lineRule="auto"/>
        <w:rPr>
          <w:rFonts w:hint="eastAsia"/>
          <w:sz w:val="24"/>
          <w:szCs w:val="24"/>
          <w:lang w:val="en-US" w:eastAsia="zh-CN"/>
        </w:rPr>
      </w:pPr>
      <w:r>
        <w:rPr>
          <w:rFonts w:hint="eastAsia"/>
          <w:sz w:val="24"/>
          <w:szCs w:val="24"/>
          <w:lang w:val="en-US" w:eastAsia="zh-CN"/>
        </w:rPr>
        <w:t>（注：①以上采购数量为预估量，具体以实际下单数量为准；</w:t>
      </w:r>
    </w:p>
    <w:p>
      <w:pPr>
        <w:spacing w:line="360" w:lineRule="auto"/>
        <w:ind w:firstLine="720" w:firstLineChars="300"/>
        <w:rPr>
          <w:rFonts w:hint="eastAsia"/>
          <w:sz w:val="24"/>
          <w:szCs w:val="24"/>
          <w:lang w:val="en-US" w:eastAsia="zh-CN"/>
        </w:rPr>
      </w:pPr>
      <w:r>
        <w:rPr>
          <w:rFonts w:hint="eastAsia"/>
          <w:sz w:val="24"/>
          <w:szCs w:val="24"/>
          <w:lang w:val="en-US" w:eastAsia="zh-CN"/>
        </w:rPr>
        <w:t>②投标人应对所有的标的内容（以包组为单位）进行投标，不允许只对部分内容进行投标；）</w:t>
      </w:r>
    </w:p>
    <w:p>
      <w:pPr>
        <w:spacing w:line="360" w:lineRule="auto"/>
        <w:rPr>
          <w:sz w:val="24"/>
          <w:szCs w:val="24"/>
        </w:rPr>
      </w:pPr>
      <w:r>
        <w:rPr>
          <w:sz w:val="24"/>
          <w:szCs w:val="24"/>
        </w:rPr>
        <w:t>2、中标人必须根据《食品药品监管总局国家卫生计生委工商总局关于进一步规范母乳代用品宣传和销售行为的通知》（2013年214 号文）的要求严格执行以下规定：</w:t>
      </w:r>
    </w:p>
    <w:p>
      <w:pPr>
        <w:spacing w:line="360" w:lineRule="auto"/>
        <w:ind w:firstLine="480" w:firstLineChars="200"/>
        <w:rPr>
          <w:sz w:val="24"/>
          <w:szCs w:val="24"/>
        </w:rPr>
      </w:pPr>
      <w:r>
        <w:rPr>
          <w:sz w:val="24"/>
          <w:szCs w:val="24"/>
        </w:rPr>
        <w:t>（1）</w:t>
      </w:r>
      <w:r>
        <w:rPr>
          <w:rFonts w:hint="eastAsia" w:ascii="宋体" w:hAnsi="宋体"/>
          <w:sz w:val="24"/>
          <w:szCs w:val="24"/>
        </w:rPr>
        <w:t>中标人必须按照《中华人民共和国母婴保健法》及其实施办法、《母乳代用品销售管理办法》等规定，实施销售行为。</w:t>
      </w:r>
    </w:p>
    <w:p>
      <w:pPr>
        <w:spacing w:line="360" w:lineRule="auto"/>
        <w:ind w:firstLine="480" w:firstLineChars="200"/>
        <w:rPr>
          <w:sz w:val="24"/>
          <w:szCs w:val="24"/>
        </w:rPr>
      </w:pPr>
      <w:r>
        <w:rPr>
          <w:sz w:val="24"/>
          <w:szCs w:val="24"/>
        </w:rPr>
        <w:t>（2）</w:t>
      </w:r>
      <w:r>
        <w:rPr>
          <w:rFonts w:hint="eastAsia" w:ascii="宋体" w:hAnsi="宋体"/>
          <w:sz w:val="24"/>
          <w:szCs w:val="24"/>
        </w:rPr>
        <w:t>婴儿配方食品是重要的母乳代用品。中标人提供的婴儿配方食品特别是婴儿配方乳粉的必须严格按照《母乳代用品销售管理办法》和食品安全国家标准规定，保证质量安全。中标人必须落实进货查验和查验记录制度。</w:t>
      </w:r>
    </w:p>
    <w:p>
      <w:pPr>
        <w:spacing w:line="360" w:lineRule="auto"/>
        <w:ind w:firstLine="480" w:firstLineChars="200"/>
        <w:rPr>
          <w:sz w:val="24"/>
          <w:szCs w:val="24"/>
        </w:rPr>
      </w:pPr>
      <w:r>
        <w:rPr>
          <w:sz w:val="24"/>
          <w:szCs w:val="24"/>
        </w:rPr>
        <w:t>（3）每月按医院需求及数量进行供应。</w:t>
      </w:r>
    </w:p>
    <w:p>
      <w:pPr>
        <w:spacing w:line="360" w:lineRule="auto"/>
        <w:ind w:firstLine="422" w:firstLineChars="200"/>
        <w:rPr>
          <w:b/>
          <w:szCs w:val="21"/>
        </w:rPr>
      </w:pPr>
      <w:r>
        <w:rPr>
          <w:b/>
          <w:szCs w:val="21"/>
        </w:rPr>
        <w:t>四、其他要求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lang w:val="en-US" w:eastAsia="zh-CN"/>
        </w:rPr>
      </w:pPr>
      <w:r>
        <w:rPr>
          <w:rFonts w:hint="eastAsia"/>
          <w:sz w:val="24"/>
          <w:szCs w:val="24"/>
          <w:lang w:val="en-US" w:eastAsia="zh-CN"/>
        </w:rPr>
        <w:t>1、中标人根据采购人的电话或其它方式通知订购品种、数量后，按时运送物品到相关院区相关科室，随货附上送货清单、每批次的产品合格证、进口婴儿奶粉需附上中华人民共和国出入境检验检疫卫生证书和中华人民共和国出入境检验检疫入境货物检验检疫证明，作为送、收货及结算的凭证。</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lang w:val="en-US" w:eastAsia="zh-CN"/>
        </w:rPr>
      </w:pPr>
      <w:r>
        <w:rPr>
          <w:rFonts w:hint="eastAsia"/>
          <w:sz w:val="24"/>
          <w:szCs w:val="24"/>
          <w:lang w:val="en-US" w:eastAsia="zh-CN"/>
        </w:rPr>
        <w:t>2、中标人在配送服务中，须服从医院的管理工作，不得做出有损医院形象的行为。</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lang w:val="en-US" w:eastAsia="zh-CN"/>
        </w:rPr>
      </w:pPr>
      <w:r>
        <w:rPr>
          <w:rFonts w:hint="eastAsia"/>
          <w:sz w:val="24"/>
          <w:szCs w:val="24"/>
          <w:lang w:val="en-US" w:eastAsia="zh-CN"/>
        </w:rPr>
        <w:t>3、如发现中标人所送物品有质量问题，采购人有权退货；中标人须立即重新送货，不得以任何理由推迟。</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lang w:val="en-US" w:eastAsia="zh-CN"/>
        </w:rPr>
      </w:pPr>
      <w:r>
        <w:rPr>
          <w:rFonts w:hint="eastAsia"/>
          <w:sz w:val="24"/>
          <w:szCs w:val="24"/>
          <w:lang w:val="en-US" w:eastAsia="zh-CN"/>
        </w:rPr>
        <w:t>4、非采购人的人为原因而出现产品质量，由中标人负责包换或包退，并承担因此而产生的一切费用。</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pPr>
      <w:r>
        <w:rPr>
          <w:rFonts w:hint="eastAsia"/>
          <w:sz w:val="24"/>
          <w:szCs w:val="24"/>
          <w:lang w:val="en-US" w:eastAsia="zh-CN"/>
        </w:rPr>
        <w:t>5、对采购人临时的供货要求，需随订随送，至少在1小时内响应，24小时内送达。</w:t>
      </w:r>
      <w:bookmarkStart w:id="2" w:name="_GoBack"/>
      <w:bookmarkEnd w:id="2"/>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Segoe UI Symbol">
    <w:panose1 w:val="020B0502040204020203"/>
    <w:charset w:val="00"/>
    <w:family w:val="swiss"/>
    <w:pitch w:val="default"/>
    <w:sig w:usb0="800001E3" w:usb1="1200FFEF" w:usb2="00040000" w:usb3="04000000" w:csb0="00000001" w:csb1="4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swiss"/>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3280452"/>
                            <w:docPartObj>
                              <w:docPartGallery w:val="autotext"/>
                            </w:docPartObj>
                          </w:sdtPr>
                          <w:sdtContent>
                            <w:p>
                              <w:pPr>
                                <w:pStyle w:val="8"/>
                                <w:jc w:val="right"/>
                              </w:pPr>
                              <w:r>
                                <w:fldChar w:fldCharType="begin"/>
                              </w:r>
                              <w:r>
                                <w:instrText xml:space="preserve"> PAGE   \* MERGEFORMAT </w:instrText>
                              </w:r>
                              <w:r>
                                <w:fldChar w:fldCharType="separate"/>
                              </w:r>
                              <w:r>
                                <w:rPr>
                                  <w:lang w:val="zh-CN"/>
                                </w:rPr>
                                <w:t>5</w:t>
                              </w:r>
                              <w:r>
                                <w:rPr>
                                  <w:lang w:val="zh-CN"/>
                                </w:rPr>
                                <w:fldChar w:fldCharType="end"/>
                              </w:r>
                            </w:p>
                          </w:sdtContent>
                        </w:sdt>
                        <w:p>
                          <w:pPr>
                            <w:pStyle w:val="11"/>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sdt>
                    <w:sdtPr>
                      <w:id w:val="23280452"/>
                      <w:docPartObj>
                        <w:docPartGallery w:val="autotext"/>
                      </w:docPartObj>
                    </w:sdtPr>
                    <w:sdtContent>
                      <w:p>
                        <w:pPr>
                          <w:pStyle w:val="8"/>
                          <w:jc w:val="right"/>
                        </w:pPr>
                        <w:r>
                          <w:fldChar w:fldCharType="begin"/>
                        </w:r>
                        <w:r>
                          <w:instrText xml:space="preserve"> PAGE   \* MERGEFORMAT </w:instrText>
                        </w:r>
                        <w:r>
                          <w:fldChar w:fldCharType="separate"/>
                        </w:r>
                        <w:r>
                          <w:rPr>
                            <w:lang w:val="zh-CN"/>
                          </w:rPr>
                          <w:t>5</w:t>
                        </w:r>
                        <w:r>
                          <w:rPr>
                            <w:lang w:val="zh-CN"/>
                          </w:rPr>
                          <w:fldChar w:fldCharType="end"/>
                        </w:r>
                      </w:p>
                    </w:sdtContent>
                  </w:sdt>
                  <w:p>
                    <w:pPr>
                      <w:pStyle w:val="11"/>
                    </w:pPr>
                  </w:p>
                </w:txbxContent>
              </v:textbox>
            </v:shape>
          </w:pict>
        </mc:Fallback>
      </mc:AlternateContent>
    </w:r>
  </w:p>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2ZDMyNzZkYTI4ZmVhZjNmOGEzNWEyNjI3ZTFkY2IifQ=="/>
  </w:docVars>
  <w:rsids>
    <w:rsidRoot w:val="00000000"/>
    <w:rsid w:val="04AA73EE"/>
    <w:rsid w:val="09F93C78"/>
    <w:rsid w:val="0B2035D7"/>
    <w:rsid w:val="0E9311F1"/>
    <w:rsid w:val="21094CB0"/>
    <w:rsid w:val="2A7D72BA"/>
    <w:rsid w:val="35F149F8"/>
    <w:rsid w:val="3886167A"/>
    <w:rsid w:val="63407821"/>
    <w:rsid w:val="7F4F46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2">
    <w:name w:val="heading 2"/>
    <w:basedOn w:val="1"/>
    <w:next w:val="1"/>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4">
    <w:name w:val="annotation text"/>
    <w:basedOn w:val="1"/>
    <w:semiHidden/>
    <w:unhideWhenUsed/>
    <w:qFormat/>
    <w:uiPriority w:val="99"/>
    <w:pPr>
      <w:jc w:val="left"/>
    </w:pPr>
  </w:style>
  <w:style w:type="paragraph" w:styleId="5">
    <w:name w:val="Body Text"/>
    <w:basedOn w:val="1"/>
    <w:next w:val="1"/>
    <w:semiHidden/>
    <w:unhideWhenUsed/>
    <w:qFormat/>
    <w:uiPriority w:val="0"/>
    <w:pPr>
      <w:spacing w:after="120"/>
    </w:pPr>
  </w:style>
  <w:style w:type="paragraph" w:styleId="6">
    <w:name w:val="Date"/>
    <w:basedOn w:val="1"/>
    <w:next w:val="1"/>
    <w:semiHidden/>
    <w:unhideWhenUsed/>
    <w:qFormat/>
    <w:uiPriority w:val="99"/>
    <w:pPr>
      <w:ind w:left="100" w:leftChars="2500"/>
    </w:pPr>
  </w:style>
  <w:style w:type="paragraph" w:styleId="7">
    <w:name w:val="endnote text"/>
    <w:basedOn w:val="1"/>
    <w:qFormat/>
    <w:uiPriority w:val="0"/>
    <w:pPr>
      <w:snapToGrid w:val="0"/>
      <w:jc w:val="left"/>
    </w:pPr>
  </w:style>
  <w:style w:type="paragraph" w:styleId="8">
    <w:name w:val="footer"/>
    <w:basedOn w:val="1"/>
    <w:unhideWhenUsed/>
    <w:qFormat/>
    <w:uiPriority w:val="99"/>
    <w:pPr>
      <w:tabs>
        <w:tab w:val="center" w:pos="4153"/>
        <w:tab w:val="right" w:pos="8306"/>
      </w:tabs>
      <w:snapToGrid w:val="0"/>
      <w:jc w:val="left"/>
    </w:pPr>
    <w:rPr>
      <w:sz w:val="18"/>
      <w:szCs w:val="18"/>
    </w:rPr>
  </w:style>
  <w:style w:type="paragraph" w:styleId="9">
    <w:name w:val="header"/>
    <w:basedOn w:val="1"/>
    <w:next w:val="5"/>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widowControl/>
      <w:spacing w:before="100" w:beforeAutospacing="1" w:after="100" w:afterAutospacing="1"/>
      <w:jc w:val="left"/>
    </w:pPr>
    <w:rPr>
      <w:rFonts w:ascii="宋体" w:hAnsi="宋体"/>
      <w:kern w:val="0"/>
      <w:sz w:val="18"/>
      <w:szCs w:val="18"/>
    </w:rPr>
  </w:style>
  <w:style w:type="paragraph" w:styleId="11">
    <w:name w:val="Title"/>
    <w:basedOn w:val="1"/>
    <w:next w:val="1"/>
    <w:qFormat/>
    <w:uiPriority w:val="10"/>
    <w:pPr>
      <w:spacing w:before="240" w:after="60"/>
      <w:jc w:val="center"/>
      <w:outlineLvl w:val="0"/>
    </w:pPr>
    <w:rPr>
      <w:rFonts w:ascii="Cambria" w:hAnsi="Cambria" w:cs="Times New Roman"/>
      <w:b/>
      <w:bCs/>
      <w:sz w:val="32"/>
      <w:szCs w:val="32"/>
    </w:rPr>
  </w:style>
  <w:style w:type="table" w:styleId="13">
    <w:name w:val="Table Grid"/>
    <w:basedOn w:val="1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正文首行缩进两字符"/>
    <w:basedOn w:val="1"/>
    <w:qFormat/>
    <w:uiPriority w:val="0"/>
    <w:pPr>
      <w:spacing w:line="360" w:lineRule="auto"/>
      <w:ind w:firstLine="200" w:firstLineChars="200"/>
    </w:pPr>
  </w:style>
  <w:style w:type="paragraph" w:styleId="16">
    <w:name w:val="List Paragraph"/>
    <w:basedOn w:val="1"/>
    <w:qFormat/>
    <w:uiPriority w:val="34"/>
    <w:pPr>
      <w:ind w:firstLine="420" w:firstLineChars="200"/>
    </w:pPr>
  </w:style>
  <w:style w:type="paragraph" w:customStyle="1" w:styleId="17">
    <w:name w:val="Body Text First Indent 21"/>
    <w:basedOn w:val="1"/>
    <w:qFormat/>
    <w:uiPriority w:val="0"/>
    <w:pPr>
      <w:ind w:firstLine="420" w:firstLineChars="200"/>
    </w:pPr>
  </w:style>
  <w:style w:type="paragraph" w:customStyle="1" w:styleId="18">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6220</Words>
  <Characters>6328</Characters>
  <Lines>0</Lines>
  <Paragraphs>0</Paragraphs>
  <TotalTime>3</TotalTime>
  <ScaleCrop>false</ScaleCrop>
  <LinksUpToDate>false</LinksUpToDate>
  <CharactersWithSpaces>6637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2023-10-27T00:51:00Z</dcterms:created>
  <dc:creator>Lenovo</dc:creator>
  <cp:lastModifiedBy>chengxu</cp:lastModifiedBy>
  <dcterms:modified xsi:type="dcterms:W3CDTF">2023-11-06T08:42:41Z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E1B0AF40A9FA46AB82A60A7D2C11FF5B_13</vt:lpwstr>
  </property>
</Properties>
</file>