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lang w:val="en-US" w:eastAsia="zh-CN" w:bidi="ar-SA"/>
        </w:rPr>
      </w:pPr>
      <w:bookmarkStart w:id="0" w:name="_Hlt101233737"/>
      <w:bookmarkEnd w:id="0"/>
      <w:bookmarkStart w:id="1" w:name="_Hlt101843627"/>
      <w:bookmarkEnd w:id="1"/>
      <w:r>
        <w:rPr>
          <w:rFonts w:hint="eastAsia" w:ascii="黑体" w:hAnsi="黑体" w:eastAsia="黑体" w:cs="黑体"/>
          <w:b/>
          <w:bCs/>
          <w:kern w:val="0"/>
          <w:sz w:val="32"/>
          <w:szCs w:val="32"/>
          <w:lang w:val="en-US" w:eastAsia="zh-CN" w:bidi="ar-SA"/>
        </w:rPr>
        <w:t>附件一、项目需求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带“★”条款为实质性条款，投标人必须按照招标文件的要求做出实质性响应，不允许负偏离，否则视为响应无效，正偏离按照评分规则综合进行加分</w:t>
      </w:r>
      <w:r>
        <w:rPr>
          <w:rFonts w:hint="eastAsia" w:ascii="宋体" w:hAnsi="宋体" w:eastAsia="宋体" w:cs="宋体"/>
          <w:color w:val="000000" w:themeColor="text1"/>
          <w:sz w:val="24"/>
          <w:szCs w:val="24"/>
          <w:lang w:val="en-US"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一、项目概况</w:t>
      </w:r>
      <w:bookmarkStart w:id="2" w:name="_GoBack"/>
      <w:bookmarkEnd w:id="2"/>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为落实全国创建“平安医院”工作要求，根据《医疗纠纷预防与处理办法》（中华人民共和国国务院令第701号）和《三级妇幼保健机构等级评审细则》相关规定，我院拟采购医疗责任险</w:t>
      </w:r>
      <w:r>
        <w:rPr>
          <w:rFonts w:hint="eastAsia" w:ascii="宋体" w:hAnsi="宋体" w:eastAsia="宋体" w:cs="宋体"/>
          <w:color w:val="000000" w:themeColor="text1"/>
          <w:sz w:val="24"/>
          <w:szCs w:val="24"/>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二、</w:t>
      </w:r>
      <w:r>
        <w:rPr>
          <w:rFonts w:hint="eastAsia" w:ascii="宋体" w:hAnsi="宋体" w:eastAsia="宋体" w:cs="宋体"/>
          <w:color w:val="000000" w:themeColor="text1"/>
          <w:sz w:val="24"/>
          <w:szCs w:val="24"/>
          <w:lang w:val="en-US" w:eastAsia="zh-CN"/>
          <w14:textFill>
            <w14:solidFill>
              <w14:schemeClr w14:val="tx1"/>
            </w14:solidFill>
          </w14:textFill>
        </w:rPr>
        <w:t>总体要求</w:t>
      </w:r>
    </w:p>
    <w:p>
      <w:pPr>
        <w:pStyle w:val="25"/>
        <w:keepNext w:val="0"/>
        <w:keepLines w:val="0"/>
        <w:pageBreakBefore w:val="0"/>
        <w:widowControl w:val="0"/>
        <w:numPr>
          <w:ilvl w:val="0"/>
          <w:numId w:val="1"/>
        </w:numPr>
        <w:kinsoku/>
        <w:wordWrap/>
        <w:overflowPunct/>
        <w:topLinePunct w:val="0"/>
        <w:autoSpaceDE/>
        <w:autoSpaceDN/>
        <w:bidi w:val="0"/>
        <w:adjustRightInd/>
        <w:snapToGrid/>
        <w:spacing w:line="400" w:lineRule="exact"/>
        <w:ind w:leftChars="0" w:firstLine="482" w:firstLineChars="200"/>
        <w:jc w:val="left"/>
        <w:textAlignment w:val="auto"/>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项目限价：</w:t>
      </w:r>
      <w:r>
        <w:rPr>
          <w:rFonts w:hint="eastAsia" w:ascii="宋体" w:hAnsi="宋体" w:eastAsia="宋体" w:cs="宋体"/>
          <w:b w:val="0"/>
          <w:bCs w:val="0"/>
          <w:color w:val="000000" w:themeColor="text1"/>
          <w:sz w:val="24"/>
          <w:szCs w:val="24"/>
          <w:lang w:val="en-US" w:eastAsia="zh-CN"/>
          <w14:textFill>
            <w14:solidFill>
              <w14:schemeClr w14:val="tx1"/>
            </w14:solidFill>
          </w14:textFill>
        </w:rPr>
        <w:t>本项目最高限价2</w:t>
      </w:r>
      <w:r>
        <w:rPr>
          <w:rFonts w:hint="eastAsia" w:ascii="宋体" w:hAnsi="宋体" w:cs="宋体"/>
          <w:b w:val="0"/>
          <w:bCs w:val="0"/>
          <w:color w:val="000000" w:themeColor="text1"/>
          <w:sz w:val="24"/>
          <w:szCs w:val="24"/>
          <w:lang w:val="en-US" w:eastAsia="zh-CN"/>
          <w14:textFill>
            <w14:solidFill>
              <w14:schemeClr w14:val="tx1"/>
            </w14:solidFill>
          </w14:textFill>
        </w:rPr>
        <w:t>5</w:t>
      </w:r>
      <w:r>
        <w:rPr>
          <w:rFonts w:hint="eastAsia" w:ascii="宋体" w:hAnsi="宋体" w:eastAsia="宋体" w:cs="宋体"/>
          <w:b w:val="0"/>
          <w:bCs w:val="0"/>
          <w:color w:val="000000" w:themeColor="text1"/>
          <w:sz w:val="24"/>
          <w:szCs w:val="24"/>
          <w:lang w:val="en-US" w:eastAsia="zh-CN"/>
          <w14:textFill>
            <w14:solidFill>
              <w14:schemeClr w14:val="tx1"/>
            </w14:solidFill>
          </w14:textFill>
        </w:rPr>
        <w:t>万元</w:t>
      </w:r>
    </w:p>
    <w:p>
      <w:pPr>
        <w:pStyle w:val="25"/>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jc w:val="left"/>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sz w:val="24"/>
        </w:rPr>
        <w:t>★</w:t>
      </w:r>
      <w:r>
        <w:rPr>
          <w:rFonts w:hint="eastAsia" w:ascii="微软雅黑" w:hAnsi="微软雅黑" w:eastAsia="微软雅黑" w:cs="微软雅黑"/>
          <w:sz w:val="24"/>
          <w:lang w:eastAsia="zh-CN"/>
        </w:rPr>
        <w:t>（</w:t>
      </w:r>
      <w:r>
        <w:rPr>
          <w:rFonts w:hint="eastAsia" w:ascii="微软雅黑" w:hAnsi="微软雅黑" w:eastAsia="微软雅黑" w:cs="微软雅黑"/>
          <w:sz w:val="24"/>
          <w:lang w:val="en-US" w:eastAsia="zh-CN"/>
        </w:rPr>
        <w:t>二</w:t>
      </w:r>
      <w:r>
        <w:rPr>
          <w:rFonts w:hint="eastAsia" w:ascii="微软雅黑" w:hAnsi="微软雅黑" w:eastAsia="微软雅黑" w:cs="微软雅黑"/>
          <w:sz w:val="24"/>
          <w:lang w:eastAsia="zh-CN"/>
        </w:rPr>
        <w:t>）</w:t>
      </w:r>
      <w:r>
        <w:rPr>
          <w:rFonts w:hint="eastAsia" w:ascii="宋体" w:hAnsi="宋体" w:eastAsia="宋体" w:cs="宋体"/>
          <w:b/>
          <w:bCs/>
          <w:color w:val="000000" w:themeColor="text1"/>
          <w:sz w:val="24"/>
          <w:szCs w:val="24"/>
          <w:lang w:val="en-US" w:eastAsia="zh-CN"/>
          <w14:textFill>
            <w14:solidFill>
              <w14:schemeClr w14:val="tx1"/>
            </w14:solidFill>
          </w14:textFill>
        </w:rPr>
        <w:t>服务</w:t>
      </w:r>
      <w:r>
        <w:rPr>
          <w:rFonts w:hint="eastAsia" w:ascii="宋体" w:hAnsi="宋体" w:cs="宋体"/>
          <w:b/>
          <w:bCs/>
          <w:color w:val="000000" w:themeColor="text1"/>
          <w:sz w:val="24"/>
          <w:szCs w:val="24"/>
          <w:lang w:val="en-US" w:eastAsia="zh-CN"/>
          <w14:textFill>
            <w14:solidFill>
              <w14:schemeClr w14:val="tx1"/>
            </w14:solidFill>
          </w14:textFill>
        </w:rPr>
        <w:t>内容</w:t>
      </w:r>
      <w:r>
        <w:rPr>
          <w:rFonts w:hint="eastAsia" w:ascii="宋体" w:hAnsi="宋体" w:eastAsia="宋体" w:cs="宋体"/>
          <w:b/>
          <w:bCs/>
          <w:color w:val="000000" w:themeColor="text1"/>
          <w:sz w:val="24"/>
          <w:szCs w:val="24"/>
          <w:lang w:val="en-US" w:eastAsia="zh-CN"/>
          <w14:textFill>
            <w14:solidFill>
              <w14:schemeClr w14:val="tx1"/>
            </w14:solidFill>
          </w14:textFill>
        </w:rPr>
        <w:t>要求：</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1</w:t>
      </w:r>
      <w:r>
        <w:rPr>
          <w:rFonts w:hint="eastAsia" w:ascii="Segoe UI Symbol" w:hAnsi="Segoe UI Symbol" w:cs="Segoe UI Symbol"/>
          <w:sz w:val="24"/>
          <w:lang w:eastAsia="zh-CN"/>
        </w:rPr>
        <w:t>.</w:t>
      </w:r>
      <w:r>
        <w:rPr>
          <w:rFonts w:hint="eastAsia" w:ascii="Segoe UI Symbol" w:hAnsi="Segoe UI Symbol" w:cs="Segoe UI Symbol"/>
          <w:sz w:val="24"/>
        </w:rPr>
        <w:t>在接到我院医疗纠纷险情报案后，第一时间了解医疗纠纷发生经过，并提出相应解决方案；</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2</w:t>
      </w:r>
      <w:r>
        <w:rPr>
          <w:rFonts w:hint="eastAsia" w:ascii="Segoe UI Symbol" w:hAnsi="Segoe UI Symbol" w:cs="Segoe UI Symbol"/>
          <w:sz w:val="24"/>
          <w:lang w:eastAsia="zh-CN"/>
        </w:rPr>
        <w:t>.</w:t>
      </w:r>
      <w:r>
        <w:rPr>
          <w:rFonts w:hint="eastAsia" w:ascii="Segoe UI Symbol" w:hAnsi="Segoe UI Symbol" w:cs="Segoe UI Symbol"/>
          <w:sz w:val="24"/>
        </w:rPr>
        <w:t>积极参与、配合我院的医疗纠纷调解；</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Segoe UI Symbol" w:hAnsi="Segoe UI Symbol" w:cs="Segoe UI Symbol"/>
          <w:sz w:val="24"/>
        </w:rPr>
      </w:pPr>
      <w:r>
        <w:rPr>
          <w:rFonts w:hint="eastAsia" w:ascii="Segoe UI Symbol" w:hAnsi="Segoe UI Symbol" w:cs="Segoe UI Symbol"/>
          <w:sz w:val="24"/>
        </w:rPr>
        <w:t>3</w:t>
      </w:r>
      <w:r>
        <w:rPr>
          <w:rFonts w:hint="eastAsia" w:ascii="Segoe UI Symbol" w:hAnsi="Segoe UI Symbol" w:cs="Segoe UI Symbol"/>
          <w:sz w:val="24"/>
          <w:lang w:eastAsia="zh-CN"/>
        </w:rPr>
        <w:t>.</w:t>
      </w:r>
      <w:r>
        <w:rPr>
          <w:rFonts w:hint="eastAsia" w:ascii="Segoe UI Symbol" w:hAnsi="Segoe UI Symbol" w:cs="Segoe UI Symbol"/>
          <w:sz w:val="24"/>
        </w:rPr>
        <w:t>及时开展赔付，收到我院理赔资料后15个工作日内理赔；</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4</w:t>
      </w:r>
      <w:r>
        <w:rPr>
          <w:rFonts w:hint="eastAsia" w:ascii="Segoe UI Symbol" w:hAnsi="Segoe UI Symbol" w:cs="Segoe UI Symbol"/>
          <w:sz w:val="24"/>
          <w:lang w:val="en-US" w:eastAsia="zh-CN"/>
        </w:rPr>
        <w:t>.</w:t>
      </w:r>
      <w:r>
        <w:rPr>
          <w:rFonts w:hint="eastAsia" w:ascii="Segoe UI Symbol" w:hAnsi="Segoe UI Symbol" w:cs="Segoe UI Symbol"/>
          <w:sz w:val="24"/>
        </w:rPr>
        <w:t>承保范围：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4.1主险：医疗损害赔偿（含死亡赔偿金）</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（1）累计责任限额不低于100万元，单人单次责任限额不低于50万元，其中每案精神损失赔偿限额不低于15万元，全年累计限额不低于30万元。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（2）法律费用赔偿：累计限额不低于12万元，每案限额不低于6万元。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4.2医务人员遭受伤害责任险：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1）承保范围：我院工作人员在医院场所内（含我院本部、政务中心婚检点、西河卫生院婚检点、建材路619号）遭受患方损害所致人身、精神等伤害的；或有证据证明我院工作人员在非医院场所内因医疗争议遭受患方损害所致人身、精神等伤害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（2）承保金额：累计责任限额不低于100万元，每人每次事故限额不低于10万元（无免赔金额）。</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4.3医疗机构场所责任险：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1）承保范围：医院场所内（含我院本部、政务中心婚检点、西河卫生院婚检点、建材路619号）的建筑物、电梯、升降机、自动梯，通道（应包括场所外1公里以内范围）或其他设施，因设置、保管、管理有缺陷或使用不当造成人员人身伤害及财产损失；医院工作人员在执行非诊疗工作时，因疏忽或过失造成的人员伤害或财产损失。</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Segoe UI Symbol" w:hAnsi="Segoe UI Symbol" w:cs="Segoe UI Symbol"/>
          <w:sz w:val="24"/>
        </w:rPr>
      </w:pPr>
      <w:r>
        <w:rPr>
          <w:rFonts w:hint="eastAsia" w:ascii="Segoe UI Symbol" w:hAnsi="Segoe UI Symbol" w:cs="Segoe UI Symbol"/>
          <w:sz w:val="24"/>
        </w:rPr>
        <w:t>（2）承保金额：每次赔偿限额不低于30万元，累计赔偿限额不低于100万元。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5</w:t>
      </w:r>
      <w:r>
        <w:rPr>
          <w:rFonts w:hint="eastAsia" w:ascii="Segoe UI Symbol" w:hAnsi="Segoe UI Symbol" w:cs="Segoe UI Symbol"/>
          <w:sz w:val="24"/>
          <w:lang w:val="en-US" w:eastAsia="zh-CN"/>
        </w:rPr>
        <w:t>.</w:t>
      </w:r>
      <w:r>
        <w:rPr>
          <w:rFonts w:hint="eastAsia" w:ascii="Segoe UI Symbol" w:hAnsi="Segoe UI Symbol" w:cs="Segoe UI Symbol"/>
          <w:sz w:val="24"/>
        </w:rPr>
        <w:t>赔偿处理：医院向承保保险公司提供以下列方式之一资料，按照承保合同应当按照的约定进行赔偿：</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5.1医院和向医院提出损害赔偿请求的患者协商并经保险公司确认。</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5.2医院向承保公司提供仲裁机构裁决书。</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5.3医院向承保公司提供人民法院判决书或调解书。</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5.4医院向承保公司提供卫生行政部门调解书（含人民纠纷调解委员会出具的调解书）。</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5.5承保公司与医院协商认可的其他方式。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5.6医疗纠纷发生后赔偿金额在2万元以内，医患双方可协商解决</w:t>
      </w:r>
      <w:r>
        <w:rPr>
          <w:rFonts w:hint="eastAsia" w:ascii="Segoe UI Symbol" w:hAnsi="Segoe UI Symbol" w:cs="Segoe UI Symbol"/>
          <w:sz w:val="24"/>
          <w:lang w:val="en-US" w:eastAsia="zh-CN"/>
        </w:rPr>
        <w:t>保险公司按照5.1要求进行理赔偿；</w:t>
      </w:r>
      <w:r>
        <w:rPr>
          <w:rFonts w:hint="eastAsia" w:ascii="Segoe UI Symbol" w:hAnsi="Segoe UI Symbol" w:cs="Segoe UI Symbol"/>
          <w:sz w:val="24"/>
        </w:rPr>
        <w:t>2万元以上（含2万元），10万元（含10万元）以下的医疗纠纷，保险公司和卫生行政部门（含医调委）</w:t>
      </w:r>
      <w:r>
        <w:rPr>
          <w:rFonts w:hint="eastAsia" w:ascii="Segoe UI Symbol" w:hAnsi="Segoe UI Symbol" w:cs="Segoe UI Symbol"/>
          <w:sz w:val="24"/>
          <w:lang w:val="en-US" w:eastAsia="zh-CN"/>
        </w:rPr>
        <w:t>介入</w:t>
      </w:r>
      <w:r>
        <w:rPr>
          <w:rFonts w:hint="eastAsia" w:ascii="Segoe UI Symbol" w:hAnsi="Segoe UI Symbol" w:cs="Segoe UI Symbol"/>
          <w:sz w:val="24"/>
        </w:rPr>
        <w:t>，可直接调解</w:t>
      </w:r>
      <w:r>
        <w:rPr>
          <w:rFonts w:hint="eastAsia" w:ascii="Segoe UI Symbol" w:hAnsi="Segoe UI Symbol" w:cs="Segoe UI Symbol"/>
          <w:sz w:val="24"/>
          <w:lang w:eastAsia="zh-CN"/>
        </w:rPr>
        <w:t>，</w:t>
      </w:r>
      <w:r>
        <w:rPr>
          <w:rFonts w:hint="eastAsia" w:ascii="Segoe UI Symbol" w:hAnsi="Segoe UI Symbol" w:cs="Segoe UI Symbol"/>
          <w:sz w:val="24"/>
          <w:lang w:val="en-US" w:eastAsia="zh-CN"/>
        </w:rPr>
        <w:t>保险公司按照5.4要求进行赔偿。</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6</w:t>
      </w:r>
      <w:r>
        <w:rPr>
          <w:rFonts w:hint="eastAsia" w:ascii="Segoe UI Symbol" w:hAnsi="Segoe UI Symbol" w:cs="Segoe UI Symbol"/>
          <w:sz w:val="24"/>
          <w:lang w:val="en-US" w:eastAsia="zh-CN"/>
        </w:rPr>
        <w:t>.</w:t>
      </w:r>
      <w:r>
        <w:rPr>
          <w:rFonts w:hint="eastAsia" w:ascii="Segoe UI Symbol" w:hAnsi="Segoe UI Symbol" w:cs="Segoe UI Symbol"/>
          <w:sz w:val="24"/>
        </w:rPr>
        <w:t>其他：</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6.1医院有权对保险公司的服务行为进行监督和检查，拥有监管权。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6.2医院有权定期核对保险公司提供服务所配备的人员数量，认为不合理的部分有权下达整改通知书，并要求保险公司限期整改。</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Segoe UI Symbol" w:hAnsi="Segoe UI Symbol" w:cs="Segoe UI Symbol"/>
          <w:sz w:val="24"/>
        </w:rPr>
      </w:pPr>
      <w:r>
        <w:rPr>
          <w:rFonts w:hint="eastAsia" w:ascii="Segoe UI Symbol" w:hAnsi="Segoe UI Symbol" w:cs="Segoe UI Symbol"/>
          <w:sz w:val="24"/>
        </w:rPr>
        <w:t>6.3如保险公司在履职过程中出现疏忽、失职、过错等过失并给医院造成损失的，保险公司承担全部责任。</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Segoe UI Symbol" w:hAnsi="Segoe UI Symbol" w:eastAsia="宋体" w:cs="Segoe UI Symbol"/>
          <w:color w:val="auto"/>
          <w:kern w:val="2"/>
          <w:sz w:val="24"/>
          <w:lang w:bidi="ar"/>
        </w:rPr>
      </w:pPr>
      <w:r>
        <w:rPr>
          <w:rFonts w:hint="eastAsia" w:ascii="Segoe UI Symbol" w:hAnsi="Segoe UI Symbol" w:cs="Segoe UI Symbol"/>
          <w:sz w:val="24"/>
        </w:rPr>
        <w:t>6.4</w:t>
      </w:r>
      <w:r>
        <w:rPr>
          <w:rFonts w:hint="eastAsia" w:ascii="Segoe UI Symbol" w:hAnsi="Segoe UI Symbol" w:eastAsia="宋体" w:cs="Segoe UI Symbol"/>
          <w:color w:val="auto"/>
          <w:kern w:val="2"/>
          <w:sz w:val="24"/>
          <w:lang w:bidi="ar"/>
        </w:rPr>
        <w:t>医院每年医务人员增长率在10%以内，住院患者及住院手术增长率在15%以内免收保费。</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Segoe UI Symbol" w:hAnsi="Segoe UI Symbol" w:cs="Segoe UI Symbol"/>
          <w:sz w:val="24"/>
          <w:lang w:val="en-US" w:eastAsia="zh-CN"/>
        </w:rPr>
        <w:t>6.5免赔额：</w:t>
      </w:r>
      <w:r>
        <w:rPr>
          <w:rFonts w:hint="eastAsia" w:ascii="Segoe UI Symbol" w:hAnsi="Segoe UI Symbol" w:cs="Segoe UI Symbol"/>
          <w:sz w:val="24"/>
        </w:rPr>
        <w:t>按医疗责任每次</w:t>
      </w:r>
      <w:r>
        <w:rPr>
          <w:rFonts w:hint="eastAsia" w:ascii="Segoe UI Symbol" w:hAnsi="Segoe UI Symbol" w:cs="Segoe UI Symbol"/>
          <w:sz w:val="24"/>
          <w:lang w:val="en-US" w:eastAsia="zh-CN"/>
        </w:rPr>
        <w:t>不高于</w:t>
      </w:r>
      <w:r>
        <w:rPr>
          <w:rFonts w:hint="eastAsia" w:ascii="Segoe UI Symbol" w:hAnsi="Segoe UI Symbol" w:cs="Segoe UI Symbol"/>
          <w:sz w:val="24"/>
        </w:rPr>
        <w:t>事故赔偿金额的5％或1000元计，两者以高者为准</w:t>
      </w:r>
      <w:r>
        <w:rPr>
          <w:rFonts w:hint="eastAsia" w:ascii="Segoe UI Symbol" w:hAnsi="Segoe UI Symbol" w:cs="Segoe UI Symbol"/>
          <w:sz w:val="24"/>
          <w:lang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三、其他要求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无</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四、资质要求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供应商必须取得《营业执照》与《保险经营许可证》。</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五、商务要求</w:t>
      </w:r>
    </w:p>
    <w:p>
      <w:pPr>
        <w:numPr>
          <w:ilvl w:val="-1"/>
          <w:numId w:val="0"/>
        </w:numPr>
        <w:spacing w:line="400" w:lineRule="exact"/>
        <w:ind w:firstLine="480" w:firstLineChars="20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1.履约地点：采购人指定地点。</w:t>
      </w:r>
    </w:p>
    <w:p>
      <w:pPr>
        <w:numPr>
          <w:numId w:val="0"/>
        </w:numPr>
        <w:spacing w:line="400" w:lineRule="exact"/>
        <w:ind w:firstLine="480" w:firstLineChars="200"/>
        <w:jc w:val="left"/>
      </w:pPr>
      <w:r>
        <w:rPr>
          <w:rFonts w:hint="eastAsia" w:ascii="宋体" w:hAnsi="宋体" w:eastAsia="宋体" w:cs="宋体"/>
          <w:color w:val="000000" w:themeColor="text1"/>
          <w:sz w:val="24"/>
          <w:szCs w:val="24"/>
          <w:lang w:val="en-US" w:eastAsia="zh-CN"/>
          <w14:textFill>
            <w14:solidFill>
              <w14:schemeClr w14:val="tx1"/>
            </w14:solidFill>
          </w14:textFill>
        </w:rPr>
        <w:t>2.付款方法：自合同签订且乙方提交合法等额的增值税发票之日起30个工作日内一次性以转账汇款的方式向保险公司支付保费。</w:t>
      </w:r>
    </w:p>
    <w:sectPr>
      <w:footerReference r:id="rId3" w:type="default"/>
      <w:pgSz w:w="11906" w:h="16838"/>
      <w:pgMar w:top="850" w:right="1800"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88B765"/>
    <w:multiLevelType w:val="singleLevel"/>
    <w:tmpl w:val="4088B765"/>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4FAD"/>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2F150B5"/>
    <w:rsid w:val="132D2513"/>
    <w:rsid w:val="137B38DC"/>
    <w:rsid w:val="13E63669"/>
    <w:rsid w:val="146B53DF"/>
    <w:rsid w:val="14BA32E1"/>
    <w:rsid w:val="16803C1A"/>
    <w:rsid w:val="16AC0EAA"/>
    <w:rsid w:val="16D20FE6"/>
    <w:rsid w:val="17373CEB"/>
    <w:rsid w:val="174A3FF1"/>
    <w:rsid w:val="17500414"/>
    <w:rsid w:val="178339EB"/>
    <w:rsid w:val="18254B65"/>
    <w:rsid w:val="182F4CA9"/>
    <w:rsid w:val="184039D1"/>
    <w:rsid w:val="188C4A43"/>
    <w:rsid w:val="18B92AF3"/>
    <w:rsid w:val="18CC494A"/>
    <w:rsid w:val="195C3707"/>
    <w:rsid w:val="198232D2"/>
    <w:rsid w:val="19873C6D"/>
    <w:rsid w:val="1B040AF0"/>
    <w:rsid w:val="1B7222D0"/>
    <w:rsid w:val="1B7F6894"/>
    <w:rsid w:val="1B811C08"/>
    <w:rsid w:val="1C403A91"/>
    <w:rsid w:val="1CAF1766"/>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7326EC"/>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68E6692"/>
    <w:rsid w:val="36B064EA"/>
    <w:rsid w:val="3794592A"/>
    <w:rsid w:val="3822667D"/>
    <w:rsid w:val="38AA704F"/>
    <w:rsid w:val="38B05953"/>
    <w:rsid w:val="38B745E0"/>
    <w:rsid w:val="3998117C"/>
    <w:rsid w:val="39D45C36"/>
    <w:rsid w:val="39EB38A2"/>
    <w:rsid w:val="3A8B6411"/>
    <w:rsid w:val="3B58176B"/>
    <w:rsid w:val="3B9D6276"/>
    <w:rsid w:val="3BFA37AC"/>
    <w:rsid w:val="3C2A2DAA"/>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EFA24EA"/>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8878AB"/>
    <w:rsid w:val="5DC3307D"/>
    <w:rsid w:val="5EA6596C"/>
    <w:rsid w:val="5EBF7064"/>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D564F88"/>
    <w:rsid w:val="6E582E85"/>
    <w:rsid w:val="6E8C507E"/>
    <w:rsid w:val="6EA93056"/>
    <w:rsid w:val="6EB1235D"/>
    <w:rsid w:val="6F520277"/>
    <w:rsid w:val="6F9B6713"/>
    <w:rsid w:val="70BF5C7A"/>
    <w:rsid w:val="71246208"/>
    <w:rsid w:val="71BE1F67"/>
    <w:rsid w:val="729A42C4"/>
    <w:rsid w:val="731E7004"/>
    <w:rsid w:val="7353288B"/>
    <w:rsid w:val="73535858"/>
    <w:rsid w:val="73600286"/>
    <w:rsid w:val="7379541C"/>
    <w:rsid w:val="73B97203"/>
    <w:rsid w:val="73BD7DF0"/>
    <w:rsid w:val="73C940A2"/>
    <w:rsid w:val="74697AB7"/>
    <w:rsid w:val="754E0BFA"/>
    <w:rsid w:val="75CD0D5C"/>
    <w:rsid w:val="760213C2"/>
    <w:rsid w:val="764E0276"/>
    <w:rsid w:val="76F472B2"/>
    <w:rsid w:val="775F21CA"/>
    <w:rsid w:val="778219EA"/>
    <w:rsid w:val="77BD5437"/>
    <w:rsid w:val="7807665E"/>
    <w:rsid w:val="78142FAE"/>
    <w:rsid w:val="792953D2"/>
    <w:rsid w:val="7B6B2B44"/>
    <w:rsid w:val="7B7754C9"/>
    <w:rsid w:val="7CB3340E"/>
    <w:rsid w:val="7CFB08E4"/>
    <w:rsid w:val="7D930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4</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2023-11-21T02:11:22Z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2119F912CAF444D1B0567C47AE86A8CF_13</vt:lpwstr>
  </property>
</Properties>
</file>