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0"/>
        <w:rPr>
          <w:rFonts w:hint="eastAsia" w:ascii="黑体" w:hAnsi="黑体" w:eastAsia="黑体" w:cs="黑体"/>
          <w:b/>
          <w:bCs/>
          <w:kern w:val="0"/>
          <w:sz w:val="32"/>
          <w:szCs w:val="32"/>
          <w:lang w:val="en-US" w:eastAsia="zh-CN" w:bidi="ar-SA"/>
        </w:rPr>
      </w:pPr>
      <w:bookmarkStart w:id="0" w:name="_Hlt101843627"/>
      <w:bookmarkEnd w:id="0"/>
      <w:bookmarkStart w:id="1" w:name="_Hlt101233737"/>
      <w:bookmarkEnd w:id="1"/>
      <w:r>
        <w:rPr>
          <w:rFonts w:hint="eastAsia" w:ascii="黑体" w:hAnsi="黑体" w:eastAsia="黑体" w:cs="黑体"/>
          <w:b/>
          <w:bCs/>
          <w:kern w:val="0"/>
          <w:sz w:val="32"/>
          <w:szCs w:val="32"/>
          <w:lang w:val="en-US" w:eastAsia="zh-CN" w:bidi="ar-SA"/>
        </w:rPr>
        <w:t>附件二、投标文件</w:t>
      </w: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hint="eastAsia" w:ascii="华文中宋" w:hAnsi="华文中宋" w:eastAsia="华文中宋" w:cs="宋体"/>
          <w:b/>
          <w:sz w:val="44"/>
          <w:szCs w:val="44"/>
        </w:rPr>
      </w:pPr>
      <w:r>
        <w:rPr>
          <w:rFonts w:hint="eastAsia" w:ascii="华文中宋" w:hAnsi="华文中宋" w:eastAsia="华文中宋" w:cs="宋体"/>
          <w:b/>
          <w:sz w:val="44"/>
          <w:szCs w:val="44"/>
        </w:rPr>
        <w:t>医疗责任险</w:t>
      </w:r>
      <w:r>
        <w:rPr>
          <w:rFonts w:hint="eastAsia" w:ascii="华文中宋" w:hAnsi="华文中宋" w:eastAsia="华文中宋" w:cs="宋体"/>
          <w:b/>
          <w:sz w:val="44"/>
          <w:szCs w:val="44"/>
          <w:lang w:eastAsia="zh-CN"/>
        </w:rPr>
        <w:t>项目</w:t>
      </w:r>
      <w:r>
        <w:rPr>
          <w:rFonts w:hint="eastAsia" w:ascii="华文中宋" w:hAnsi="华文中宋" w:eastAsia="华文中宋" w:cs="宋体"/>
          <w:b/>
          <w:sz w:val="44"/>
          <w:szCs w:val="44"/>
        </w:rPr>
        <w:t>项目</w:t>
      </w:r>
    </w:p>
    <w:p>
      <w:pPr>
        <w:spacing w:line="480" w:lineRule="auto"/>
        <w:ind w:firstLine="560"/>
        <w:jc w:val="center"/>
        <w:rPr>
          <w:rFonts w:hint="eastAsia" w:ascii="华文中宋" w:hAnsi="华文中宋" w:eastAsia="华文中宋" w:cs="宋体"/>
          <w:b/>
          <w:sz w:val="44"/>
          <w:szCs w:val="44"/>
          <w:lang w:eastAsia="zh-CN"/>
        </w:rPr>
      </w:pP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rPr>
          <w:rFonts w:hint="eastAsia"/>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br w:type="page"/>
      </w:r>
    </w:p>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1"/>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left"/>
        <w:rPr>
          <w:rFonts w:hint="default" w:ascii="Cambria" w:hAnsi="Cambria" w:eastAsia="宋体" w:cs="Cambria"/>
          <w:b/>
          <w:sz w:val="32"/>
          <w:lang w:val="en-US" w:eastAsia="zh-CN"/>
        </w:rPr>
      </w:pPr>
      <w:r>
        <w:rPr>
          <w:rFonts w:hint="eastAsia" w:ascii="宋体" w:hAnsi="宋体" w:eastAsia="宋体" w:cs="宋体"/>
          <w:kern w:val="0"/>
          <w:sz w:val="24"/>
          <w:szCs w:val="24"/>
          <w:u w:val="none"/>
          <w:lang w:val="en-US" w:eastAsia="zh-CN" w:bidi="ar-SA"/>
        </w:rPr>
        <w:t>如供应商在成都其它地方设有网点，请提供相关资料</w:t>
      </w: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rPr>
          <w:rFonts w:hint="eastAsia" w:ascii="Cambria" w:hAnsi="Cambria" w:eastAsia="宋体" w:cs="Cambria"/>
          <w:b/>
          <w:sz w:val="32"/>
        </w:rPr>
      </w:pPr>
      <w:r>
        <w:rPr>
          <w:rFonts w:hint="eastAsia" w:ascii="Cambria" w:hAnsi="Cambria" w:eastAsia="宋体" w:cs="Cambria"/>
          <w:b/>
          <w:sz w:val="32"/>
        </w:rPr>
        <w:br w:type="page"/>
      </w:r>
    </w:p>
    <w:p>
      <w:pPr>
        <w:keepNext/>
        <w:keepLines/>
        <w:pageBreakBefore w:val="0"/>
        <w:widowControl w:val="0"/>
        <w:kinsoku/>
        <w:wordWrap/>
        <w:overflowPunct/>
        <w:topLinePunct w:val="0"/>
        <w:autoSpaceDE/>
        <w:autoSpaceDN/>
        <w:bidi w:val="0"/>
        <w:adjustRightInd/>
        <w:snapToGrid/>
        <w:spacing w:line="480" w:lineRule="auto"/>
        <w:ind w:firstLine="964" w:firstLineChars="300"/>
        <w:jc w:val="center"/>
        <w:textAlignment w:val="auto"/>
        <w:outlineLvl w:val="1"/>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pageBreakBefore w:val="0"/>
        <w:widowControl w:val="0"/>
        <w:kinsoku/>
        <w:wordWrap/>
        <w:overflowPunct/>
        <w:topLinePunct w:val="0"/>
        <w:autoSpaceDE/>
        <w:autoSpaceDN/>
        <w:bidi w:val="0"/>
        <w:adjustRightInd/>
        <w:snapToGrid/>
        <w:spacing w:line="400" w:lineRule="exact"/>
        <w:textAlignment w:val="auto"/>
        <w:outlineLvl w:val="9"/>
      </w:pPr>
    </w:p>
    <w:p>
      <w:pPr>
        <w:pStyle w:val="8"/>
        <w:pageBreakBefore w:val="0"/>
        <w:widowControl w:val="0"/>
        <w:kinsoku/>
        <w:wordWrap/>
        <w:overflowPunct/>
        <w:topLinePunct w:val="0"/>
        <w:autoSpaceDE/>
        <w:autoSpaceDN/>
        <w:bidi w:val="0"/>
        <w:adjustRightInd/>
        <w:snapToGrid/>
        <w:spacing w:line="400" w:lineRule="exact"/>
        <w:textAlignment w:val="auto"/>
        <w:outlineLvl w:val="9"/>
      </w:pPr>
    </w:p>
    <w:p>
      <w:pPr>
        <w:pStyle w:val="8"/>
        <w:pageBreakBefore w:val="0"/>
        <w:widowControl w:val="0"/>
        <w:kinsoku/>
        <w:wordWrap/>
        <w:overflowPunct/>
        <w:topLinePunct w:val="0"/>
        <w:autoSpaceDE/>
        <w:autoSpaceDN/>
        <w:bidi w:val="0"/>
        <w:adjustRightInd/>
        <w:snapToGrid/>
        <w:spacing w:line="400" w:lineRule="exact"/>
        <w:textAlignment w:val="auto"/>
        <w:outlineLvl w:val="9"/>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both"/>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both"/>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textAlignment w:val="auto"/>
        <w:outlineLvl w:val="9"/>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br w:type="page"/>
      </w:r>
    </w:p>
    <w:p>
      <w:pPr>
        <w:keepNext/>
        <w:keepLines/>
        <w:pageBreakBefore w:val="0"/>
        <w:widowControl w:val="0"/>
        <w:kinsoku/>
        <w:wordWrap/>
        <w:overflowPunct/>
        <w:topLinePunct w:val="0"/>
        <w:autoSpaceDE/>
        <w:autoSpaceDN/>
        <w:bidi w:val="0"/>
        <w:adjustRightInd/>
        <w:snapToGrid/>
        <w:spacing w:before="0" w:after="0" w:line="400" w:lineRule="exact"/>
        <w:jc w:val="center"/>
        <w:textAlignment w:val="auto"/>
        <w:outlineLvl w:val="1"/>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3258"/>
        <w:gridCol w:w="310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1774"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690"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1774" w:type="pct"/>
          </w:tcPr>
          <w:p>
            <w:pPr>
              <w:tabs>
                <w:tab w:val="left" w:pos="0"/>
                <w:tab w:val="left" w:pos="540"/>
              </w:tabs>
              <w:spacing w:line="400" w:lineRule="exact"/>
              <w:jc w:val="center"/>
              <w:rPr>
                <w:highlight w:val="none"/>
              </w:rPr>
            </w:pPr>
            <w:r>
              <w:rPr>
                <w:rFonts w:hint="eastAsia"/>
                <w:highlight w:val="none"/>
                <w:lang w:val="en-US" w:eastAsia="zh-CN"/>
              </w:rPr>
              <w:t>附件一：</w:t>
            </w:r>
            <w:r>
              <w:rPr>
                <w:rFonts w:hint="eastAsia"/>
                <w:highlight w:val="none"/>
              </w:rPr>
              <w:t>项目</w:t>
            </w:r>
            <w:r>
              <w:rPr>
                <w:rFonts w:hint="eastAsia"/>
                <w:highlight w:val="none"/>
                <w:lang w:val="en-US" w:eastAsia="zh-CN"/>
              </w:rPr>
              <w:t>需求二、总体要求（二）服务要求实质性条款</w:t>
            </w:r>
            <w:r>
              <w:rPr>
                <w:rFonts w:hint="eastAsia"/>
                <w:highlight w:val="none"/>
              </w:rPr>
              <w:t>请逐条复制</w:t>
            </w:r>
          </w:p>
          <w:p>
            <w:pPr>
              <w:pStyle w:val="8"/>
              <w:spacing w:line="400" w:lineRule="exact"/>
              <w:rPr>
                <w:highlight w:val="none"/>
              </w:rPr>
            </w:pPr>
          </w:p>
        </w:tc>
        <w:tc>
          <w:tcPr>
            <w:tcW w:w="1690" w:type="pct"/>
          </w:tcPr>
          <w:p>
            <w:pPr>
              <w:tabs>
                <w:tab w:val="left" w:pos="0"/>
                <w:tab w:val="left" w:pos="540"/>
              </w:tabs>
              <w:spacing w:line="400" w:lineRule="exact"/>
              <w:jc w:val="center"/>
              <w:rPr>
                <w:highlight w:val="none"/>
              </w:rPr>
            </w:pPr>
            <w:r>
              <w:rPr>
                <w:rFonts w:hint="eastAsia"/>
                <w:highlight w:val="none"/>
                <w:lang w:val="en-US" w:eastAsia="zh-CN"/>
              </w:rPr>
              <w:t>附件一：</w:t>
            </w:r>
            <w:r>
              <w:rPr>
                <w:rFonts w:hint="eastAsia"/>
                <w:highlight w:val="none"/>
              </w:rPr>
              <w:t>项目</w:t>
            </w:r>
            <w:r>
              <w:rPr>
                <w:rFonts w:hint="eastAsia"/>
                <w:highlight w:val="none"/>
                <w:lang w:val="en-US" w:eastAsia="zh-CN"/>
              </w:rPr>
              <w:t>需求二、总体要求（二）服务要求实质性条款</w:t>
            </w:r>
            <w:r>
              <w:rPr>
                <w:rFonts w:hint="eastAsia"/>
                <w:highlight w:val="none"/>
              </w:rPr>
              <w:t>请逐条复制</w:t>
            </w:r>
          </w:p>
          <w:p>
            <w:pPr>
              <w:widowControl/>
              <w:spacing w:line="400" w:lineRule="exact"/>
              <w:jc w:val="center"/>
              <w:rPr>
                <w:highlight w:val="none"/>
              </w:rP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1774" w:type="pct"/>
          </w:tcPr>
          <w:p>
            <w:pPr>
              <w:pStyle w:val="8"/>
              <w:spacing w:line="400" w:lineRule="exact"/>
            </w:pPr>
          </w:p>
        </w:tc>
        <w:tc>
          <w:tcPr>
            <w:tcW w:w="1690"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1774" w:type="pct"/>
          </w:tcPr>
          <w:p>
            <w:pPr>
              <w:pStyle w:val="8"/>
              <w:spacing w:line="400" w:lineRule="exact"/>
            </w:pPr>
          </w:p>
        </w:tc>
        <w:tc>
          <w:tcPr>
            <w:tcW w:w="1690"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1774" w:type="pct"/>
          </w:tcPr>
          <w:p>
            <w:pPr>
              <w:pStyle w:val="8"/>
              <w:spacing w:line="400" w:lineRule="exact"/>
            </w:pPr>
          </w:p>
        </w:tc>
        <w:tc>
          <w:tcPr>
            <w:tcW w:w="1690"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1774" w:type="pct"/>
          </w:tcPr>
          <w:p>
            <w:pPr>
              <w:pStyle w:val="8"/>
              <w:spacing w:line="400" w:lineRule="exact"/>
            </w:pPr>
          </w:p>
        </w:tc>
        <w:tc>
          <w:tcPr>
            <w:tcW w:w="1690"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1774" w:type="pct"/>
          </w:tcPr>
          <w:p>
            <w:pPr>
              <w:pStyle w:val="8"/>
              <w:spacing w:line="400" w:lineRule="exact"/>
            </w:pPr>
          </w:p>
        </w:tc>
        <w:tc>
          <w:tcPr>
            <w:tcW w:w="1690"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1774" w:type="pct"/>
          </w:tcPr>
          <w:p>
            <w:pPr>
              <w:pStyle w:val="8"/>
              <w:spacing w:line="400" w:lineRule="exact"/>
            </w:pPr>
          </w:p>
        </w:tc>
        <w:tc>
          <w:tcPr>
            <w:tcW w:w="1690"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keepNext/>
        <w:keepLines/>
        <w:pageBreakBefore w:val="0"/>
        <w:widowControl w:val="0"/>
        <w:kinsoku/>
        <w:wordWrap/>
        <w:overflowPunct/>
        <w:topLinePunct w:val="0"/>
        <w:autoSpaceDE/>
        <w:autoSpaceDN/>
        <w:bidi w:val="0"/>
        <w:adjustRightInd/>
        <w:snapToGrid/>
        <w:spacing w:line="400" w:lineRule="exact"/>
        <w:jc w:val="left"/>
        <w:textAlignment w:val="auto"/>
        <w:outlineLvl w:val="9"/>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rPr>
          <w:rFonts w:hint="eastAsia"/>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
        <w:rPr>
          <w:rFonts w:hint="eastAsia"/>
        </w:rPr>
      </w:pPr>
    </w:p>
    <w:p>
      <w:pPr>
        <w:pStyle w:val="8"/>
        <w:spacing w:line="400" w:lineRule="exact"/>
        <w:rPr>
          <w:sz w:val="24"/>
          <w:szCs w:val="24"/>
        </w:rPr>
      </w:pPr>
    </w:p>
    <w:tbl>
      <w:tblPr>
        <w:tblStyle w:val="18"/>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8"/>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8"/>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8"/>
              <w:spacing w:line="400" w:lineRule="exact"/>
            </w:pPr>
          </w:p>
        </w:tc>
      </w:tr>
    </w:tbl>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tbl>
      <w:tblPr>
        <w:tblStyle w:val="18"/>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8"/>
              <w:spacing w:line="400" w:lineRule="exact"/>
            </w:pPr>
          </w:p>
        </w:tc>
      </w:tr>
    </w:tbl>
    <w:p>
      <w:pPr>
        <w:pStyle w:val="8"/>
        <w:spacing w:line="40" w:lineRule="exact"/>
      </w:pPr>
    </w:p>
    <w:p>
      <w:pPr>
        <w:pStyle w:val="8"/>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w:t>
      </w:r>
      <w:r>
        <w:rPr>
          <w:rFonts w:hint="eastAsia" w:ascii="宋体" w:hAnsi="宋体"/>
          <w:color w:val="000000" w:themeColor="text1"/>
          <w:sz w:val="24"/>
          <w:highlight w:val="none"/>
          <w:lang w:eastAsia="zh-CN"/>
          <w14:textFill>
            <w14:solidFill>
              <w14:schemeClr w14:val="tx1"/>
            </w14:solidFill>
          </w14:textFill>
        </w:rPr>
        <w:t>按照</w:t>
      </w:r>
      <w:r>
        <w:rPr>
          <w:rFonts w:hint="eastAsia" w:ascii="宋体" w:hAnsi="宋体"/>
          <w:color w:val="000000" w:themeColor="text1"/>
          <w:sz w:val="24"/>
          <w:highlight w:val="none"/>
          <w:lang w:val="en-US" w:eastAsia="zh-CN"/>
          <w14:textFill>
            <w14:solidFill>
              <w14:schemeClr w14:val="tx1"/>
            </w14:solidFill>
          </w14:textFill>
        </w:rPr>
        <w:t>单价及汇总总价</w:t>
      </w:r>
      <w:r>
        <w:rPr>
          <w:rFonts w:hint="eastAsia" w:ascii="宋体" w:hAnsi="宋体"/>
          <w:color w:val="000000" w:themeColor="text1"/>
          <w:sz w:val="24"/>
          <w:highlight w:val="none"/>
          <w:lang w:eastAsia="zh-CN"/>
          <w14:textFill>
            <w14:solidFill>
              <w14:schemeClr w14:val="tx1"/>
            </w14:solidFill>
          </w14:textFill>
        </w:rPr>
        <w:t>进行报价</w:t>
      </w:r>
      <w:r>
        <w:rPr>
          <w:rFonts w:hint="eastAsia" w:ascii="宋体" w:hAnsi="宋体"/>
          <w:color w:val="000000" w:themeColor="text1"/>
          <w:sz w:val="24"/>
          <w:highlight w:val="none"/>
          <w14:textFill>
            <w14:solidFill>
              <w14:schemeClr w14:val="tx1"/>
            </w14:solidFill>
          </w14:textFill>
        </w:rPr>
        <w:t>，不允许缺项或漏项，否则作无效响应处理。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rPr>
          <w:rFonts w:hint="eastAsia"/>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pP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br w:type="page"/>
      </w:r>
    </w:p>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rFonts w:hint="default" w:asciiTheme="minorHAnsi" w:hAnsiTheme="minorHAnsi" w:eastAsiaTheme="minorEastAsia" w:cstheme="minorBidi"/>
          <w:b/>
          <w:color w:val="000000" w:themeColor="text1"/>
          <w:sz w:val="30"/>
          <w:szCs w:val="30"/>
          <w:lang w:val="en-US" w:eastAsia="zh-CN"/>
          <w14:textFill>
            <w14:solidFill>
              <w14:schemeClr w14:val="tx1"/>
            </w14:solidFill>
          </w14:textFill>
        </w:rPr>
      </w:pP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6</w:t>
      </w:r>
      <w:r>
        <w:rPr>
          <w:rFonts w:hint="eastAsia" w:cstheme="minorBidi"/>
          <w:b/>
          <w:color w:val="000000" w:themeColor="text1"/>
          <w:sz w:val="30"/>
          <w:szCs w:val="30"/>
          <w:lang w:val="en-US" w:eastAsia="zh-CN"/>
          <w14:textFill>
            <w14:solidFill>
              <w14:schemeClr w14:val="tx1"/>
            </w14:solidFill>
          </w14:textFill>
        </w:rPr>
        <w:t>、承保范围及承保方案</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7、服务方案</w:t>
      </w:r>
    </w:p>
    <w:p>
      <w:pPr>
        <w:pStyle w:val="37"/>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jc w:val="left"/>
        <w:rPr>
          <w:rFonts w:hint="default" w:ascii="宋体" w:hAnsi="宋体" w:eastAsia="宋体" w:cs="宋体"/>
          <w:b w:val="0"/>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供应商提供的服务方案至少包括：工作流程、理赔流程、工作计划、完整的项目组织管理措施等</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ind w:right="147"/>
        <w:jc w:val="center"/>
        <w:textAlignment w:val="auto"/>
        <w:outlineLvl w:val="1"/>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8、理赔时效</w:t>
      </w:r>
    </w:p>
    <w:p>
      <w:pPr>
        <w:pStyle w:val="37"/>
        <w:spacing w:before="3" w:line="252" w:lineRule="exact"/>
        <w:ind w:left="107" w:right="0"/>
        <w:rPr>
          <w:rFonts w:hint="eastAsia" w:ascii="宋体" w:hAnsi="宋体" w:eastAsia="宋体" w:cs="宋体"/>
          <w:b w:val="0"/>
          <w:sz w:val="24"/>
          <w:szCs w:val="24"/>
          <w:lang w:val="en-US" w:eastAsia="zh-CN" w:bidi="ar-SA"/>
        </w:rPr>
      </w:pPr>
    </w:p>
    <w:p>
      <w:pPr>
        <w:spacing w:line="400" w:lineRule="exact"/>
        <w:ind w:right="150" w:firstLine="480" w:firstLineChars="200"/>
        <w:jc w:val="left"/>
        <w:rPr>
          <w:rFonts w:hint="eastAsia" w:ascii="宋体" w:hAnsi="宋体" w:eastAsia="宋体" w:cs="宋体"/>
          <w:b w:val="0"/>
          <w:color w:val="000000" w:themeColor="text1"/>
          <w:sz w:val="24"/>
          <w:szCs w:val="24"/>
          <w:lang w:val="en-US" w:eastAsia="zh-CN" w:bidi="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供应商提供的理赔时效的承诺，需包含理赔后具体支付时间。</w:t>
      </w:r>
    </w:p>
    <w:p>
      <w:pPr>
        <w:spacing w:line="400" w:lineRule="exact"/>
        <w:ind w:right="150" w:firstLine="480" w:firstLineChars="200"/>
        <w:jc w:val="left"/>
        <w:rPr>
          <w:rFonts w:hint="eastAsia" w:ascii="宋体" w:hAnsi="宋体" w:eastAsia="宋体" w:cs="宋体"/>
          <w:b w:val="0"/>
          <w:color w:val="000000" w:themeColor="text1"/>
          <w:sz w:val="24"/>
          <w:szCs w:val="24"/>
          <w:lang w:val="en-US" w:eastAsia="zh-CN" w:bidi="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9、项目负责人情况（仅限一人）</w:t>
      </w:r>
    </w:p>
    <w:p>
      <w:pPr>
        <w:spacing w:line="400" w:lineRule="exact"/>
        <w:ind w:right="150" w:firstLine="480" w:firstLineChars="200"/>
        <w:jc w:val="left"/>
        <w:rPr>
          <w:rFonts w:hint="eastAsia"/>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供应商需提供：1.拟派驻的项目负责人缴纳的近三个月的社保证明作为本单位员工的证明依据；2.提供负责人曾经负责的项目合同关键信息，或加盖单位公章的情况说明作为投标人是否为负责人的依据；3.提供项目负责人保险代理人资格证书扫描件，原件备查。</w:t>
      </w: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10、团队情况</w:t>
      </w:r>
    </w:p>
    <w:p>
      <w:pPr>
        <w:widowControl/>
        <w:numPr>
          <w:ilvl w:val="-1"/>
          <w:numId w:val="0"/>
        </w:numPr>
        <w:spacing w:line="400" w:lineRule="exact"/>
        <w:ind w:right="0" w:firstLine="480" w:firstLineChars="200"/>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bidi="ar"/>
          <w14:textFill>
            <w14:solidFill>
              <w14:schemeClr w14:val="tx1"/>
            </w14:solidFill>
          </w14:textFill>
        </w:rPr>
        <w:t>拟安排的项目主要团队成员（主要技术人员）情况</w:t>
      </w:r>
      <w:r>
        <w:rPr>
          <w:rFonts w:hint="eastAsia" w:ascii="宋体" w:hAnsi="宋体" w:eastAsia="宋体" w:cs="宋体"/>
          <w:color w:val="000000" w:themeColor="text1"/>
          <w:kern w:val="2"/>
          <w:sz w:val="24"/>
          <w:szCs w:val="24"/>
          <w:lang w:eastAsia="zh-CN" w:bidi="ar"/>
          <w14:textFill>
            <w14:solidFill>
              <w14:schemeClr w14:val="tx1"/>
            </w14:solidFill>
          </w14:textFill>
        </w:rPr>
        <w:t>：</w:t>
      </w:r>
      <w:r>
        <w:rPr>
          <w:rFonts w:hint="eastAsia" w:ascii="宋体" w:hAnsi="宋体" w:eastAsia="宋体" w:cs="宋体"/>
          <w:color w:val="000000" w:themeColor="text1"/>
          <w:kern w:val="2"/>
          <w:sz w:val="24"/>
          <w:szCs w:val="24"/>
          <w:lang w:val="en-US" w:eastAsia="zh-CN" w:bidi="ar"/>
          <w14:textFill>
            <w14:solidFill>
              <w14:schemeClr w14:val="tx1"/>
            </w14:solidFill>
          </w14:textFill>
        </w:rPr>
        <w:t>1.</w:t>
      </w:r>
      <w:r>
        <w:rPr>
          <w:rFonts w:hint="eastAsia" w:ascii="宋体" w:hAnsi="宋体" w:eastAsia="宋体" w:cs="宋体"/>
          <w:color w:val="000000" w:themeColor="text1"/>
          <w:kern w:val="2"/>
          <w:sz w:val="24"/>
          <w:szCs w:val="24"/>
          <w:lang w:bidi="ar"/>
          <w14:textFill>
            <w14:solidFill>
              <w14:schemeClr w14:val="tx1"/>
            </w14:solidFill>
          </w14:textFill>
        </w:rPr>
        <w:t>要求提供人员学历学位证书扫描件，以及学信网查询记录，原件备查。2.要求提供通过投标人缴纳的近三个月的社保证明作为本单位员工的证明依据</w:t>
      </w:r>
      <w:r>
        <w:rPr>
          <w:rFonts w:hint="eastAsia" w:ascii="宋体" w:hAnsi="宋体" w:eastAsia="宋体" w:cs="宋体"/>
          <w:color w:val="000000" w:themeColor="text1"/>
          <w:kern w:val="2"/>
          <w:sz w:val="24"/>
          <w:szCs w:val="24"/>
          <w:lang w:eastAsia="zh-CN" w:bidi="ar"/>
          <w14:textFill>
            <w14:solidFill>
              <w14:schemeClr w14:val="tx1"/>
            </w14:solidFill>
          </w14:textFill>
        </w:rPr>
        <w:t>。</w:t>
      </w: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11、供应商综合偿付能力充足率情况</w:t>
      </w:r>
    </w:p>
    <w:p>
      <w:pPr>
        <w:spacing w:line="400" w:lineRule="exact"/>
        <w:ind w:firstLine="480" w:firstLineChars="200"/>
        <w:rPr>
          <w:rFonts w:hint="eastAsia"/>
          <w:b/>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kern w:val="2"/>
          <w:sz w:val="24"/>
          <w:szCs w:val="24"/>
          <w:lang w:bidi="ar"/>
          <w14:textFill>
            <w14:solidFill>
              <w14:schemeClr w14:val="tx1"/>
            </w14:solidFill>
          </w14:textFill>
        </w:rPr>
        <w:t>提供“中国保险行业协会”—“信息披露”栏目—“</w:t>
      </w:r>
      <w:r>
        <w:rPr>
          <w:rFonts w:hint="eastAsia" w:ascii="宋体" w:hAnsi="宋体" w:eastAsia="宋体" w:cs="宋体"/>
          <w:color w:val="000000" w:themeColor="text1"/>
          <w:kern w:val="2"/>
          <w:sz w:val="24"/>
          <w:szCs w:val="24"/>
          <w:lang w:val="en-US" w:eastAsia="zh-CN" w:bidi="ar"/>
          <w14:textFill>
            <w14:solidFill>
              <w14:schemeClr w14:val="tx1"/>
            </w14:solidFill>
          </w14:textFill>
        </w:rPr>
        <w:t>保险公司年度信息</w:t>
      </w:r>
      <w:r>
        <w:rPr>
          <w:rFonts w:hint="eastAsia" w:ascii="宋体" w:hAnsi="宋体" w:eastAsia="宋体" w:cs="宋体"/>
          <w:color w:val="000000" w:themeColor="text1"/>
          <w:kern w:val="2"/>
          <w:sz w:val="24"/>
          <w:szCs w:val="24"/>
          <w:lang w:bidi="ar"/>
          <w14:textFill>
            <w14:solidFill>
              <w14:schemeClr w14:val="tx1"/>
            </w14:solidFill>
          </w14:textFill>
        </w:rPr>
        <w:t xml:space="preserve">披露” 页面下载对应保险公司偿付能力报告（2022年）扫描件，仅需提供首页、综合偿付能力充足率页等关键部分相关截图，并加盖投标人公章。 </w:t>
      </w:r>
      <w:r>
        <w:rPr>
          <w:rFonts w:hint="eastAsia"/>
          <w:b/>
          <w:color w:val="000000" w:themeColor="text1"/>
          <w:sz w:val="30"/>
          <w:szCs w:val="30"/>
          <w:lang w:val="en-US" w:eastAsia="zh-CN"/>
          <w14:textFill>
            <w14:solidFill>
              <w14:schemeClr w14:val="tx1"/>
            </w14:solidFill>
          </w14:textFill>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12、供应商类似项目业绩一览表（（格式自拟））</w:t>
      </w:r>
    </w:p>
    <w:p>
      <w:pPr>
        <w:keepNext/>
        <w:keepLines/>
        <w:pageBreakBefore w:val="0"/>
        <w:widowControl w:val="0"/>
        <w:numPr>
          <w:ilvl w:val="-1"/>
          <w:numId w:val="0"/>
        </w:numPr>
        <w:kinsoku/>
        <w:wordWrap/>
        <w:overflowPunct/>
        <w:topLinePunct w:val="0"/>
        <w:autoSpaceDE/>
        <w:autoSpaceDN/>
        <w:bidi w:val="0"/>
        <w:adjustRightInd/>
        <w:snapToGrid/>
        <w:spacing w:line="416" w:lineRule="auto"/>
        <w:textAlignment w:val="auto"/>
        <w:outlineLvl w:val="9"/>
        <w:rPr>
          <w:rFonts w:hint="eastAsia" w:ascii="宋体" w:hAnsi="宋体" w:eastAsia="宋体" w:cs="宋体"/>
          <w:b w:val="0"/>
          <w:bCs w:val="0"/>
          <w:color w:val="000000" w:themeColor="text1"/>
          <w:sz w:val="24"/>
          <w:szCs w:val="24"/>
          <w:lang w:val="en-US" w:eastAsia="zh-CN" w:bidi="ar-SA"/>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eastAsia="zh-CN"/>
          <w14:textFill>
            <w14:solidFill>
              <w14:schemeClr w14:val="tx1"/>
            </w14:solidFill>
          </w14:textFill>
        </w:rPr>
        <w:t>供应商提供</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2020</w:t>
      </w:r>
      <w:r>
        <w:rPr>
          <w:rFonts w:hint="eastAsia" w:ascii="宋体" w:hAnsi="宋体" w:eastAsia="宋体" w:cs="宋体"/>
          <w:b w:val="0"/>
          <w:bCs w:val="0"/>
          <w:color w:val="000000" w:themeColor="text1"/>
          <w:kern w:val="2"/>
          <w:sz w:val="24"/>
          <w:szCs w:val="24"/>
          <w14:textFill>
            <w14:solidFill>
              <w14:schemeClr w14:val="tx1"/>
            </w14:solidFill>
          </w14:textFill>
        </w:rPr>
        <w:t>年以来与国内</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三级</w:t>
      </w:r>
      <w:r>
        <w:rPr>
          <w:rFonts w:hint="eastAsia" w:ascii="宋体" w:hAnsi="宋体" w:eastAsia="宋体" w:cs="宋体"/>
          <w:b w:val="0"/>
          <w:bCs w:val="0"/>
          <w:color w:val="000000" w:themeColor="text1"/>
          <w:kern w:val="2"/>
          <w:sz w:val="24"/>
          <w:szCs w:val="24"/>
          <w14:textFill>
            <w14:solidFill>
              <w14:schemeClr w14:val="tx1"/>
            </w14:solidFill>
          </w14:textFill>
        </w:rPr>
        <w:t>医院类似业绩</w:t>
      </w:r>
      <w:r>
        <w:rPr>
          <w:rFonts w:hint="eastAsia" w:ascii="宋体" w:hAnsi="宋体" w:eastAsia="宋体" w:cs="宋体"/>
          <w:b w:val="0"/>
          <w:bCs w:val="0"/>
          <w:color w:val="000000" w:themeColor="text1"/>
          <w:kern w:val="2"/>
          <w:sz w:val="24"/>
          <w:szCs w:val="24"/>
          <w:lang w:eastAsia="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outlineLvl w:val="9"/>
        <w:rPr>
          <w:rFonts w:hint="eastAsia"/>
          <w:b/>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outlineLvl w:val="1"/>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13</w:t>
      </w:r>
      <w:r>
        <w:rPr>
          <w:rFonts w:hint="eastAsia"/>
          <w:b/>
          <w:color w:val="000000" w:themeColor="text1"/>
          <w:sz w:val="30"/>
          <w:szCs w:val="30"/>
          <w14:textFill>
            <w14:solidFill>
              <w14:schemeClr w14:val="tx1"/>
            </w14:solidFill>
          </w14:textFill>
        </w:rPr>
        <w:t>、需要说明的其他内容</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bookmarkStart w:id="2" w:name="_GoBack"/>
      <w:bookmarkEnd w:id="2"/>
    </w:p>
    <w:sectPr>
      <w:footerReference r:id="rId3" w:type="default"/>
      <w:pgSz w:w="11906" w:h="16838"/>
      <w:pgMar w:top="850" w:right="1800"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4FAD"/>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372641"/>
    <w:rsid w:val="095A6A56"/>
    <w:rsid w:val="09CA2C87"/>
    <w:rsid w:val="09E54036"/>
    <w:rsid w:val="0A325ADB"/>
    <w:rsid w:val="0ABF45FF"/>
    <w:rsid w:val="0B216CF4"/>
    <w:rsid w:val="0B226C57"/>
    <w:rsid w:val="0B353F6E"/>
    <w:rsid w:val="0C4A01D3"/>
    <w:rsid w:val="0C913FB2"/>
    <w:rsid w:val="0DE63924"/>
    <w:rsid w:val="0E5D7936"/>
    <w:rsid w:val="0F26150C"/>
    <w:rsid w:val="0F3436E0"/>
    <w:rsid w:val="0F5721E2"/>
    <w:rsid w:val="0F6D5B99"/>
    <w:rsid w:val="1061346A"/>
    <w:rsid w:val="10FC4462"/>
    <w:rsid w:val="11C54B88"/>
    <w:rsid w:val="12100E62"/>
    <w:rsid w:val="12D612E8"/>
    <w:rsid w:val="12F150B5"/>
    <w:rsid w:val="132D2513"/>
    <w:rsid w:val="137B38DC"/>
    <w:rsid w:val="13E63669"/>
    <w:rsid w:val="146B53DF"/>
    <w:rsid w:val="14BA32E1"/>
    <w:rsid w:val="16803C1A"/>
    <w:rsid w:val="16AC0EAA"/>
    <w:rsid w:val="16D20FE6"/>
    <w:rsid w:val="17373CEB"/>
    <w:rsid w:val="174A3FF1"/>
    <w:rsid w:val="17500414"/>
    <w:rsid w:val="178339EB"/>
    <w:rsid w:val="18254B65"/>
    <w:rsid w:val="182F4CA9"/>
    <w:rsid w:val="184039D1"/>
    <w:rsid w:val="188C4A43"/>
    <w:rsid w:val="18B92AF3"/>
    <w:rsid w:val="18CC494A"/>
    <w:rsid w:val="195C3707"/>
    <w:rsid w:val="198232D2"/>
    <w:rsid w:val="19873C6D"/>
    <w:rsid w:val="1B040AF0"/>
    <w:rsid w:val="1B7222D0"/>
    <w:rsid w:val="1B7F6894"/>
    <w:rsid w:val="1B811C08"/>
    <w:rsid w:val="1C403A91"/>
    <w:rsid w:val="1CAF1766"/>
    <w:rsid w:val="1DA9388C"/>
    <w:rsid w:val="1DD80BF7"/>
    <w:rsid w:val="1E8B6382"/>
    <w:rsid w:val="1E9268BE"/>
    <w:rsid w:val="1ECF4D3F"/>
    <w:rsid w:val="209F0FF7"/>
    <w:rsid w:val="20F56432"/>
    <w:rsid w:val="21076199"/>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87326EC"/>
    <w:rsid w:val="29D06D9D"/>
    <w:rsid w:val="29DA40B8"/>
    <w:rsid w:val="29FD5AAD"/>
    <w:rsid w:val="2A931417"/>
    <w:rsid w:val="2AD91234"/>
    <w:rsid w:val="2B4F2CEF"/>
    <w:rsid w:val="2BBC1282"/>
    <w:rsid w:val="2BC2399E"/>
    <w:rsid w:val="2BEC1302"/>
    <w:rsid w:val="2C182D55"/>
    <w:rsid w:val="2CED706D"/>
    <w:rsid w:val="2CF35149"/>
    <w:rsid w:val="2E102ABB"/>
    <w:rsid w:val="2FCA7EE6"/>
    <w:rsid w:val="2FEE15A0"/>
    <w:rsid w:val="303A1F05"/>
    <w:rsid w:val="30FB7E9E"/>
    <w:rsid w:val="323325C4"/>
    <w:rsid w:val="324D2A55"/>
    <w:rsid w:val="3292324B"/>
    <w:rsid w:val="33504021"/>
    <w:rsid w:val="34C82575"/>
    <w:rsid w:val="34D357FA"/>
    <w:rsid w:val="368E6692"/>
    <w:rsid w:val="36B064EA"/>
    <w:rsid w:val="3794592A"/>
    <w:rsid w:val="3822667D"/>
    <w:rsid w:val="38AA704F"/>
    <w:rsid w:val="38B05953"/>
    <w:rsid w:val="38B745E0"/>
    <w:rsid w:val="3998117C"/>
    <w:rsid w:val="39D45C36"/>
    <w:rsid w:val="39EB38A2"/>
    <w:rsid w:val="3A8B6411"/>
    <w:rsid w:val="3B58176B"/>
    <w:rsid w:val="3B9D6276"/>
    <w:rsid w:val="3BFA37AC"/>
    <w:rsid w:val="3C2A2DAA"/>
    <w:rsid w:val="3CB815AB"/>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EFA24EA"/>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8878AB"/>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AB0C17"/>
    <w:rsid w:val="6AB04A26"/>
    <w:rsid w:val="6B4E5B09"/>
    <w:rsid w:val="6BBB0CC6"/>
    <w:rsid w:val="6C0762BF"/>
    <w:rsid w:val="6C4838F4"/>
    <w:rsid w:val="6D0A0A3D"/>
    <w:rsid w:val="6D564F88"/>
    <w:rsid w:val="6E582E85"/>
    <w:rsid w:val="6E8C507E"/>
    <w:rsid w:val="6EA93056"/>
    <w:rsid w:val="6EB1235D"/>
    <w:rsid w:val="6F520277"/>
    <w:rsid w:val="6F9B6713"/>
    <w:rsid w:val="70BF5C7A"/>
    <w:rsid w:val="71246208"/>
    <w:rsid w:val="71BE1F67"/>
    <w:rsid w:val="729A42C4"/>
    <w:rsid w:val="731E7004"/>
    <w:rsid w:val="7353288B"/>
    <w:rsid w:val="73535858"/>
    <w:rsid w:val="73600286"/>
    <w:rsid w:val="7379541C"/>
    <w:rsid w:val="73B97203"/>
    <w:rsid w:val="73BD7DF0"/>
    <w:rsid w:val="73C940A2"/>
    <w:rsid w:val="74697AB7"/>
    <w:rsid w:val="754E0BFA"/>
    <w:rsid w:val="75CD0D5C"/>
    <w:rsid w:val="760213C2"/>
    <w:rsid w:val="764E0276"/>
    <w:rsid w:val="76F472B2"/>
    <w:rsid w:val="775F21CA"/>
    <w:rsid w:val="778219EA"/>
    <w:rsid w:val="77BD5437"/>
    <w:rsid w:val="7807665E"/>
    <w:rsid w:val="78142FAE"/>
    <w:rsid w:val="78D736B5"/>
    <w:rsid w:val="792953D2"/>
    <w:rsid w:val="7B6B2B44"/>
    <w:rsid w:val="7B7754C9"/>
    <w:rsid w:val="7CB3340E"/>
    <w:rsid w:val="7CFB08E4"/>
    <w:rsid w:val="7D930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 w:type="paragraph" w:customStyle="1" w:styleId="38">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3</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2023-11-21T02:09:53Z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2119F912CAF444D1B0567C47AE86A8CF_13</vt:lpwstr>
  </property>
</Properties>
</file>