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pageBreakBefore w:val="0"/>
        <w:widowControl/>
        <w:kinsoku/>
        <w:wordWrap/>
        <w:overflowPunct/>
        <w:topLinePunct w:val="0"/>
        <w:autoSpaceDE w:val="0"/>
        <w:autoSpaceDN w:val="0"/>
        <w:bidi w:val="0"/>
        <w:adjustRightInd w:val="0"/>
        <w:snapToGrid/>
        <w:spacing w:line="360" w:lineRule="auto"/>
        <w:jc w:val="left"/>
        <w:textAlignment w:val="auto"/>
        <w:outlineLvl w:val="0"/>
        <w:rPr>
          <w:rFonts w:hint="eastAsia" w:ascii="Calibri" w:hAnsi="Calibri"/>
          <w:sz w:val="32"/>
          <w:szCs w:val="32"/>
        </w:rPr>
      </w:pPr>
      <w:bookmarkStart w:id="2" w:name="_GoBack"/>
      <w:bookmarkEnd w:id="2"/>
      <w:bookmarkStart w:id="0" w:name="_Hlt101233737"/>
      <w:bookmarkEnd w:id="0"/>
      <w:bookmarkStart w:id="1" w:name="_Hlt101843627"/>
      <w:bookmarkEnd w:id="1"/>
      <w:r>
        <w:rPr>
          <w:rFonts w:hint="eastAsia" w:ascii="黑体" w:hAnsi="黑体" w:eastAsia="黑体" w:cs="黑体"/>
          <w:b/>
          <w:bCs/>
          <w:kern w:val="0"/>
          <w:sz w:val="32"/>
          <w:szCs w:val="32"/>
          <w:lang w:val="en-US" w:eastAsia="zh-CN" w:bidi="ar-SA"/>
        </w:rPr>
        <w:t>附件三、综合评分明细表</w:t>
      </w:r>
    </w:p>
    <w:tbl>
      <w:tblPr>
        <w:tblStyle w:val="17"/>
        <w:tblW w:w="989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421"/>
        <w:gridCol w:w="949"/>
        <w:gridCol w:w="866"/>
        <w:gridCol w:w="4570"/>
        <w:gridCol w:w="309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33"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序号</w:t>
            </w:r>
          </w:p>
        </w:tc>
        <w:tc>
          <w:tcPr>
            <w:tcW w:w="949"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评分因素</w:t>
            </w:r>
          </w:p>
          <w:p>
            <w:pPr>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及权重</w:t>
            </w:r>
          </w:p>
        </w:tc>
        <w:tc>
          <w:tcPr>
            <w:tcW w:w="866"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分值</w:t>
            </w:r>
          </w:p>
        </w:tc>
        <w:tc>
          <w:tcPr>
            <w:tcW w:w="4570"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评分标准</w:t>
            </w:r>
          </w:p>
        </w:tc>
        <w:tc>
          <w:tcPr>
            <w:tcW w:w="3092"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02"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w:t>
            </w:r>
          </w:p>
        </w:tc>
        <w:tc>
          <w:tcPr>
            <w:tcW w:w="949" w:type="dxa"/>
            <w:tcBorders>
              <w:tl2br w:val="nil"/>
              <w:tr2bl w:val="nil"/>
            </w:tcBorders>
            <w:tcMar>
              <w:top w:w="15" w:type="dxa"/>
              <w:left w:w="15" w:type="dxa"/>
              <w:right w:w="15" w:type="dxa"/>
            </w:tcMar>
            <w:vAlign w:val="center"/>
          </w:tcPr>
          <w:p>
            <w:pPr>
              <w:widowControl/>
              <w:spacing w:line="360" w:lineRule="exact"/>
              <w:jc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费用</w:t>
            </w:r>
          </w:p>
          <w:p>
            <w:pPr>
              <w:widowControl/>
              <w:spacing w:line="360" w:lineRule="exact"/>
              <w:jc w:val="center"/>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bidi="ar"/>
              </w:rPr>
              <w:t>报价</w:t>
            </w:r>
          </w:p>
        </w:tc>
        <w:tc>
          <w:tcPr>
            <w:tcW w:w="866" w:type="dxa"/>
            <w:tcBorders>
              <w:tl2br w:val="nil"/>
              <w:tr2bl w:val="nil"/>
            </w:tcBorders>
            <w:tcMar>
              <w:top w:w="15" w:type="dxa"/>
              <w:left w:w="15" w:type="dxa"/>
              <w:right w:w="15" w:type="dxa"/>
            </w:tcMar>
            <w:vAlign w:val="center"/>
          </w:tcPr>
          <w:p>
            <w:pPr>
              <w:widowControl/>
              <w:spacing w:line="360" w:lineRule="exact"/>
              <w:jc w:val="center"/>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eastAsia="zh-CN" w:bidi="ar"/>
              </w:rPr>
              <w:t>2</w:t>
            </w:r>
            <w:r>
              <w:rPr>
                <w:rFonts w:hint="eastAsia" w:asciiTheme="minorEastAsia" w:hAnsiTheme="minorEastAsia" w:eastAsiaTheme="minorEastAsia" w:cstheme="minorEastAsia"/>
                <w:color w:val="000000"/>
                <w:kern w:val="0"/>
                <w:sz w:val="21"/>
                <w:szCs w:val="21"/>
                <w:lang w:val="en-US" w:eastAsia="zh-CN" w:bidi="ar"/>
              </w:rPr>
              <w:t>0分</w:t>
            </w:r>
          </w:p>
        </w:tc>
        <w:tc>
          <w:tcPr>
            <w:tcW w:w="4570" w:type="dxa"/>
            <w:tcBorders>
              <w:tl2br w:val="nil"/>
              <w:tr2bl w:val="nil"/>
            </w:tcBorders>
            <w:tcMar>
              <w:top w:w="15" w:type="dxa"/>
              <w:left w:w="15" w:type="dxa"/>
              <w:right w:w="15" w:type="dxa"/>
            </w:tcMar>
            <w:vAlign w:val="center"/>
          </w:tcPr>
          <w:p>
            <w:pPr>
              <w:widowControl/>
              <w:spacing w:line="360" w:lineRule="exact"/>
              <w:jc w:val="left"/>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bidi="ar"/>
              </w:rPr>
              <w:t>以本次最低有效投标报价为基准价，投标报价得分=（基准价/投标报价）×10。报价得分四舍五入，小数点后保留两位有效数。</w:t>
            </w:r>
          </w:p>
        </w:tc>
        <w:tc>
          <w:tcPr>
            <w:tcW w:w="3092" w:type="dxa"/>
            <w:tcBorders>
              <w:tl2br w:val="nil"/>
              <w:tr2bl w:val="nil"/>
            </w:tcBorders>
            <w:tcMar>
              <w:top w:w="15" w:type="dxa"/>
              <w:left w:w="15" w:type="dxa"/>
              <w:right w:w="15" w:type="dxa"/>
            </w:tcMar>
            <w:vAlign w:val="center"/>
          </w:tcPr>
          <w:p>
            <w:pPr>
              <w:spacing w:line="360" w:lineRule="exact"/>
              <w:rPr>
                <w:rFonts w:hint="eastAsia" w:asciiTheme="minorEastAsia" w:hAnsiTheme="minorEastAsia" w:eastAsiaTheme="minorEastAsia" w:cs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02"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2</w:t>
            </w:r>
          </w:p>
        </w:tc>
        <w:tc>
          <w:tcPr>
            <w:tcW w:w="949"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承保响应情况</w:t>
            </w:r>
          </w:p>
        </w:tc>
        <w:tc>
          <w:tcPr>
            <w:tcW w:w="866"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10分</w:t>
            </w:r>
          </w:p>
        </w:tc>
        <w:tc>
          <w:tcPr>
            <w:tcW w:w="4570" w:type="dxa"/>
            <w:tcBorders>
              <w:tl2br w:val="nil"/>
              <w:tr2bl w:val="nil"/>
            </w:tcBorders>
            <w:tcMar>
              <w:top w:w="15" w:type="dxa"/>
              <w:left w:w="15" w:type="dxa"/>
              <w:right w:w="15" w:type="dxa"/>
            </w:tcMar>
            <w:vAlign w:val="center"/>
          </w:tcPr>
          <w:p>
            <w:pPr>
              <w:keepNext w:val="0"/>
              <w:keepLines w:val="0"/>
              <w:widowControl/>
              <w:suppressLineNumbers w:val="0"/>
              <w:jc w:val="left"/>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实质性条款有 1 项不满足的，为无效投标。</w:t>
            </w:r>
          </w:p>
          <w:p>
            <w:pPr>
              <w:widowControl/>
              <w:ind w:firstLine="0" w:firstLineChars="0"/>
              <w:jc w:val="left"/>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优于招标文件实质性条款中主险累计赔偿限额的每增加10万元，加2分，最高加10分（不足10万元不予计分）；</w:t>
            </w:r>
          </w:p>
        </w:tc>
        <w:tc>
          <w:tcPr>
            <w:tcW w:w="3092" w:type="dxa"/>
            <w:tcBorders>
              <w:tl2br w:val="nil"/>
              <w:tr2bl w:val="nil"/>
            </w:tcBorders>
            <w:tcMar>
              <w:top w:w="15" w:type="dxa"/>
              <w:left w:w="15" w:type="dxa"/>
              <w:right w:w="15" w:type="dxa"/>
            </w:tcMar>
            <w:vAlign w:val="center"/>
          </w:tcPr>
          <w:p>
            <w:pPr>
              <w:spacing w:line="360" w:lineRule="exact"/>
              <w:rPr>
                <w:rFonts w:hint="eastAsia" w:asciiTheme="minorEastAsia" w:hAnsiTheme="minorEastAsia" w:eastAsiaTheme="minorEastAsia" w:cs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44"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3</w:t>
            </w:r>
          </w:p>
        </w:tc>
        <w:tc>
          <w:tcPr>
            <w:tcW w:w="949" w:type="dxa"/>
            <w:tcBorders>
              <w:tl2br w:val="nil"/>
              <w:tr2bl w:val="nil"/>
            </w:tcBorders>
            <w:tcMar>
              <w:top w:w="15" w:type="dxa"/>
              <w:left w:w="15" w:type="dxa"/>
              <w:right w:w="15" w:type="dxa"/>
            </w:tcMar>
            <w:vAlign w:val="center"/>
          </w:tcPr>
          <w:p>
            <w:pPr>
              <w:widowControl/>
              <w:spacing w:line="36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服务方案</w:t>
            </w:r>
          </w:p>
          <w:p>
            <w:pPr>
              <w:spacing w:line="36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866"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1"/>
                <w:szCs w:val="21"/>
                <w14:textFill>
                  <w14:solidFill>
                    <w14:schemeClr w14:val="tx1"/>
                  </w14:solidFill>
                </w14:textFill>
              </w:rPr>
              <w:t>分</w:t>
            </w:r>
          </w:p>
        </w:tc>
        <w:tc>
          <w:tcPr>
            <w:tcW w:w="4570" w:type="dxa"/>
            <w:tcBorders>
              <w:tl2br w:val="nil"/>
              <w:tr2bl w:val="nil"/>
            </w:tcBorders>
            <w:tcMar>
              <w:top w:w="15" w:type="dxa"/>
              <w:left w:w="15" w:type="dxa"/>
              <w:right w:w="15" w:type="dxa"/>
            </w:tcMar>
            <w:vAlign w:val="center"/>
          </w:tcPr>
          <w:p>
            <w:pPr>
              <w:widowControl/>
              <w:spacing w:line="360" w:lineRule="exact"/>
              <w:jc w:val="left"/>
              <w:rPr>
                <w:rFonts w:hint="eastAsia" w:asciiTheme="minorEastAsia" w:hAnsiTheme="minorEastAsia" w:eastAsiaTheme="minorEastAsia" w:cstheme="minorEastAsia"/>
                <w:color w:val="000000" w:themeColor="text1"/>
                <w:kern w:val="0"/>
                <w:sz w:val="21"/>
                <w:szCs w:val="21"/>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
                <w14:textFill>
                  <w14:solidFill>
                    <w14:schemeClr w14:val="tx1"/>
                  </w14:solidFill>
                </w14:textFill>
              </w:rPr>
              <w:t>投标人服务方案包括但不限于工作流程方案、理赔流程、工作计划、完整的项目组织管理措施等。</w:t>
            </w:r>
          </w:p>
          <w:p>
            <w:pPr>
              <w:widowControl/>
              <w:spacing w:line="360" w:lineRule="exact"/>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
                <w14:textFill>
                  <w14:solidFill>
                    <w14:schemeClr w14:val="tx1"/>
                  </w14:solidFill>
                </w14:textFill>
              </w:rPr>
              <w:t>完善且有针对性及重点突出，完全满足本项目需求得 20 分；每缺一项内容扣5分，扣完为止；不完善/针对性不强/重点不突每项扣3分。</w:t>
            </w:r>
          </w:p>
        </w:tc>
        <w:tc>
          <w:tcPr>
            <w:tcW w:w="3092" w:type="dxa"/>
            <w:tcBorders>
              <w:tl2br w:val="nil"/>
              <w:tr2bl w:val="nil"/>
            </w:tcBorders>
            <w:tcMar>
              <w:top w:w="15" w:type="dxa"/>
              <w:left w:w="15" w:type="dxa"/>
              <w:right w:w="15" w:type="dxa"/>
            </w:tcMar>
            <w:vAlign w:val="center"/>
          </w:tcPr>
          <w:p>
            <w:pPr>
              <w:widowControl/>
              <w:spacing w:line="360" w:lineRule="exact"/>
              <w:jc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提供案例相关文书、理赔确认书（或理赔相关凭证等证明资料）及照片等证明资料，理赔款到账时间必须为 2020年 01 月 01 日及本项目开标之日，其中纠纷处理及医闹处理案例必须提供现场处理图片或影像，否则不得分。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23"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w:t>
            </w:r>
          </w:p>
        </w:tc>
        <w:tc>
          <w:tcPr>
            <w:tcW w:w="949"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理赔时效</w:t>
            </w:r>
          </w:p>
        </w:tc>
        <w:tc>
          <w:tcPr>
            <w:tcW w:w="866"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lang w:val="en-US" w:eastAsia="zh-CN"/>
              </w:rPr>
              <w:t>0</w:t>
            </w:r>
            <w:r>
              <w:rPr>
                <w:rFonts w:hint="eastAsia" w:asciiTheme="minorEastAsia" w:hAnsiTheme="minorEastAsia" w:eastAsiaTheme="minorEastAsia" w:cstheme="minorEastAsia"/>
                <w:sz w:val="21"/>
                <w:szCs w:val="21"/>
              </w:rPr>
              <w:t>分</w:t>
            </w:r>
          </w:p>
        </w:tc>
        <w:tc>
          <w:tcPr>
            <w:tcW w:w="4570" w:type="dxa"/>
            <w:tcBorders>
              <w:tl2br w:val="nil"/>
              <w:tr2bl w:val="nil"/>
            </w:tcBorders>
            <w:tcMar>
              <w:top w:w="15" w:type="dxa"/>
              <w:left w:w="15" w:type="dxa"/>
              <w:right w:w="15" w:type="dxa"/>
            </w:tcMar>
            <w:vAlign w:val="center"/>
          </w:tcPr>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（1）满足收到医院盖章确认的理赔申请资料之日起 7个工作日内支付赔款的，得</w:t>
            </w:r>
            <w:r>
              <w:rPr>
                <w:rFonts w:hint="eastAsia" w:asciiTheme="minorEastAsia" w:hAnsiTheme="minorEastAsia" w:eastAsiaTheme="minorEastAsia" w:cstheme="minorEastAsia"/>
                <w:color w:val="000000"/>
                <w:kern w:val="0"/>
                <w:sz w:val="21"/>
                <w:szCs w:val="21"/>
                <w:lang w:val="en-US" w:eastAsia="zh-CN" w:bidi="ar"/>
              </w:rPr>
              <w:t>10</w:t>
            </w:r>
            <w:r>
              <w:rPr>
                <w:rFonts w:hint="eastAsia" w:asciiTheme="minorEastAsia" w:hAnsiTheme="minorEastAsia" w:eastAsiaTheme="minorEastAsia" w:cstheme="minorEastAsia"/>
                <w:color w:val="000000"/>
                <w:kern w:val="0"/>
                <w:sz w:val="21"/>
                <w:szCs w:val="21"/>
                <w:lang w:bidi="ar"/>
              </w:rPr>
              <w:t xml:space="preserve">分。 </w:t>
            </w:r>
          </w:p>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（2）满足收到医院盖章确认的理赔申请资料之日起 10个工作日内支付赔 款的，得</w:t>
            </w:r>
            <w:r>
              <w:rPr>
                <w:rFonts w:hint="eastAsia" w:asciiTheme="minorEastAsia" w:hAnsiTheme="minorEastAsia" w:eastAsiaTheme="minorEastAsia" w:cstheme="minorEastAsia"/>
                <w:color w:val="000000"/>
                <w:kern w:val="0"/>
                <w:sz w:val="21"/>
                <w:szCs w:val="21"/>
                <w:lang w:val="en-US" w:eastAsia="zh-CN" w:bidi="ar"/>
              </w:rPr>
              <w:t>7</w:t>
            </w:r>
            <w:r>
              <w:rPr>
                <w:rFonts w:hint="eastAsia" w:asciiTheme="minorEastAsia" w:hAnsiTheme="minorEastAsia" w:eastAsiaTheme="minorEastAsia" w:cstheme="minorEastAsia"/>
                <w:color w:val="000000"/>
                <w:kern w:val="0"/>
                <w:sz w:val="21"/>
                <w:szCs w:val="21"/>
                <w:lang w:bidi="ar"/>
              </w:rPr>
              <w:t xml:space="preserve">分。 </w:t>
            </w:r>
          </w:p>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（3）满足收到医院盖章确认的理赔申请资料之日起15个工作日内支付赔款的，得</w:t>
            </w:r>
            <w:r>
              <w:rPr>
                <w:rFonts w:hint="eastAsia" w:asciiTheme="minorEastAsia" w:hAnsiTheme="minorEastAsia" w:eastAsiaTheme="minorEastAsia" w:cstheme="minorEastAsia"/>
                <w:color w:val="000000"/>
                <w:kern w:val="0"/>
                <w:sz w:val="21"/>
                <w:szCs w:val="21"/>
                <w:lang w:val="en-US" w:eastAsia="zh-CN" w:bidi="ar"/>
              </w:rPr>
              <w:t>5</w:t>
            </w:r>
            <w:r>
              <w:rPr>
                <w:rFonts w:hint="eastAsia" w:asciiTheme="minorEastAsia" w:hAnsiTheme="minorEastAsia" w:eastAsiaTheme="minorEastAsia" w:cstheme="minorEastAsia"/>
                <w:color w:val="000000"/>
                <w:kern w:val="0"/>
                <w:sz w:val="21"/>
                <w:szCs w:val="21"/>
                <w:lang w:bidi="ar"/>
              </w:rPr>
              <w:t xml:space="preserve">分。 </w:t>
            </w:r>
          </w:p>
          <w:p>
            <w:pPr>
              <w:widowControl/>
              <w:numPr>
                <w:ilvl w:val="255"/>
                <w:numId w:val="0"/>
              </w:numPr>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（4）其他情况不得分</w:t>
            </w:r>
          </w:p>
        </w:tc>
        <w:tc>
          <w:tcPr>
            <w:tcW w:w="3092" w:type="dxa"/>
            <w:tcBorders>
              <w:tl2br w:val="nil"/>
              <w:tr2bl w:val="nil"/>
            </w:tcBorders>
            <w:tcMar>
              <w:top w:w="15" w:type="dxa"/>
              <w:left w:w="15" w:type="dxa"/>
              <w:right w:w="15" w:type="dxa"/>
            </w:tcMar>
            <w:vAlign w:val="center"/>
          </w:tcPr>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要求提供承诺（格式自定）作为得分依据，未提供承诺或承诺内容不满足要求不得分。</w:t>
            </w:r>
          </w:p>
          <w:p>
            <w:pPr>
              <w:spacing w:line="360" w:lineRule="exact"/>
              <w:jc w:val="center"/>
              <w:rPr>
                <w:rFonts w:hint="eastAsia" w:asciiTheme="minorEastAsia" w:hAnsiTheme="minorEastAsia" w:eastAsiaTheme="minorEastAsia" w:cs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12"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5</w:t>
            </w:r>
          </w:p>
        </w:tc>
        <w:tc>
          <w:tcPr>
            <w:tcW w:w="949" w:type="dxa"/>
            <w:tcBorders>
              <w:tl2br w:val="nil"/>
              <w:tr2bl w:val="nil"/>
            </w:tcBorders>
            <w:tcMar>
              <w:top w:w="15" w:type="dxa"/>
              <w:left w:w="15" w:type="dxa"/>
              <w:right w:w="15" w:type="dxa"/>
            </w:tcMar>
            <w:vAlign w:val="center"/>
          </w:tcPr>
          <w:p>
            <w:pPr>
              <w:widowControl/>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项目负责人情</w:t>
            </w:r>
          </w:p>
          <w:p>
            <w:pPr>
              <w:widowControl/>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况（仅限一人）</w:t>
            </w:r>
          </w:p>
        </w:tc>
        <w:tc>
          <w:tcPr>
            <w:tcW w:w="866"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5分</w:t>
            </w:r>
          </w:p>
        </w:tc>
        <w:tc>
          <w:tcPr>
            <w:tcW w:w="4570" w:type="dxa"/>
            <w:tcBorders>
              <w:tl2br w:val="nil"/>
              <w:tr2bl w:val="nil"/>
            </w:tcBorders>
            <w:tcMar>
              <w:top w:w="15" w:type="dxa"/>
              <w:left w:w="15" w:type="dxa"/>
              <w:right w:w="15" w:type="dxa"/>
            </w:tcMar>
            <w:vAlign w:val="center"/>
          </w:tcPr>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拟安排项目负责人为投标单位员工（以社保为准），否则本项不得分。 具有在 20</w:t>
            </w:r>
            <w:r>
              <w:rPr>
                <w:rFonts w:hint="eastAsia" w:asciiTheme="minorEastAsia" w:hAnsiTheme="minorEastAsia" w:eastAsiaTheme="minorEastAsia" w:cstheme="minorEastAsia"/>
                <w:color w:val="000000"/>
                <w:kern w:val="0"/>
                <w:sz w:val="21"/>
                <w:szCs w:val="21"/>
                <w:lang w:val="en-US" w:eastAsia="zh-CN" w:bidi="ar"/>
              </w:rPr>
              <w:t>20</w:t>
            </w:r>
            <w:r>
              <w:rPr>
                <w:rFonts w:hint="eastAsia" w:asciiTheme="minorEastAsia" w:hAnsiTheme="minorEastAsia" w:eastAsiaTheme="minorEastAsia" w:cstheme="minorEastAsia"/>
                <w:color w:val="000000"/>
                <w:kern w:val="0"/>
                <w:sz w:val="21"/>
                <w:szCs w:val="21"/>
                <w:lang w:bidi="ar"/>
              </w:rPr>
              <w:t xml:space="preserve"> 年1月1日至本项目开标之日前在医疗机构保险项目中担任过负责人工作经验的，得</w:t>
            </w:r>
            <w:r>
              <w:rPr>
                <w:rFonts w:hint="eastAsia" w:asciiTheme="minorEastAsia" w:hAnsiTheme="minorEastAsia" w:eastAsiaTheme="minorEastAsia" w:cstheme="minorEastAsia"/>
                <w:color w:val="000000"/>
                <w:kern w:val="0"/>
                <w:sz w:val="21"/>
                <w:szCs w:val="21"/>
                <w:lang w:val="en-US" w:eastAsia="zh-CN" w:bidi="ar"/>
              </w:rPr>
              <w:t>5</w:t>
            </w:r>
            <w:r>
              <w:rPr>
                <w:rFonts w:hint="eastAsia" w:asciiTheme="minorEastAsia" w:hAnsiTheme="minorEastAsia" w:eastAsiaTheme="minorEastAsia" w:cstheme="minorEastAsia"/>
                <w:color w:val="000000"/>
                <w:kern w:val="0"/>
                <w:sz w:val="21"/>
                <w:szCs w:val="21"/>
                <w:lang w:bidi="ar"/>
              </w:rPr>
              <w:t>分</w:t>
            </w:r>
            <w:r>
              <w:rPr>
                <w:rFonts w:hint="eastAsia" w:asciiTheme="minorEastAsia" w:hAnsiTheme="minorEastAsia" w:eastAsia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val="en-US" w:eastAsia="zh-CN" w:bidi="ar"/>
              </w:rPr>
              <w:t>无项目负责人经验的得2分。</w:t>
            </w:r>
          </w:p>
        </w:tc>
        <w:tc>
          <w:tcPr>
            <w:tcW w:w="3092" w:type="dxa"/>
            <w:tcBorders>
              <w:tl2br w:val="nil"/>
              <w:tr2bl w:val="nil"/>
            </w:tcBorders>
            <w:tcMar>
              <w:top w:w="15" w:type="dxa"/>
              <w:left w:w="15" w:type="dxa"/>
              <w:right w:w="15" w:type="dxa"/>
            </w:tcMar>
            <w:vAlign w:val="center"/>
          </w:tcPr>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 xml:space="preserve">1.要求提供通过投标人缴纳的近三个月的社保证明作为本单位员工的证明依据。 </w:t>
            </w:r>
          </w:p>
          <w:p>
            <w:pPr>
              <w:widowControl/>
              <w:spacing w:line="360" w:lineRule="exact"/>
              <w:jc w:val="left"/>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2.要求提供负责人项目合同关键信息或加盖单位公章的情况说明作为投标人是否为负责人的依据</w:t>
            </w:r>
          </w:p>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3</w:t>
            </w:r>
            <w:r>
              <w:rPr>
                <w:rFonts w:hint="eastAsia" w:asciiTheme="minorEastAsia" w:hAnsiTheme="minorEastAsia" w:eastAsiaTheme="minorEastAsia" w:cstheme="minorEastAsia"/>
                <w:color w:val="000000"/>
                <w:kern w:val="0"/>
                <w:sz w:val="21"/>
                <w:szCs w:val="21"/>
                <w:lang w:bidi="ar"/>
              </w:rPr>
              <w:t xml:space="preserve">.提供项目负责人保险代理人资格证书扫描件，原件备查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26"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6</w:t>
            </w:r>
          </w:p>
        </w:tc>
        <w:tc>
          <w:tcPr>
            <w:tcW w:w="949" w:type="dxa"/>
            <w:tcBorders>
              <w:tl2br w:val="nil"/>
              <w:tr2bl w:val="nil"/>
            </w:tcBorders>
            <w:tcMar>
              <w:top w:w="15" w:type="dxa"/>
              <w:left w:w="15" w:type="dxa"/>
              <w:right w:w="15" w:type="dxa"/>
            </w:tcMar>
            <w:vAlign w:val="center"/>
          </w:tcPr>
          <w:p>
            <w:pPr>
              <w:spacing w:line="360" w:lineRule="exact"/>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供应商</w:t>
            </w:r>
            <w:r>
              <w:rPr>
                <w:rFonts w:hint="eastAsia" w:asciiTheme="minorEastAsia" w:hAnsiTheme="minorEastAsia" w:eastAsiaTheme="minorEastAsia" w:cstheme="minorEastAsia"/>
                <w:sz w:val="21"/>
                <w:szCs w:val="21"/>
              </w:rPr>
              <w:t>服务网点</w:t>
            </w:r>
          </w:p>
        </w:tc>
        <w:tc>
          <w:tcPr>
            <w:tcW w:w="866"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5分</w:t>
            </w:r>
          </w:p>
        </w:tc>
        <w:tc>
          <w:tcPr>
            <w:tcW w:w="4570" w:type="dxa"/>
            <w:tcBorders>
              <w:tl2br w:val="nil"/>
              <w:tr2bl w:val="nil"/>
            </w:tcBorders>
            <w:tcMar>
              <w:top w:w="15" w:type="dxa"/>
              <w:left w:w="15" w:type="dxa"/>
              <w:right w:w="15" w:type="dxa"/>
            </w:tcMar>
            <w:vAlign w:val="center"/>
          </w:tcPr>
          <w:p>
            <w:pPr>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在成都市22个区县设有服务网点（不含营销服务部），其中设20个以上得</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分，15-20个得</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分，15个以下</w:t>
            </w: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分。</w:t>
            </w:r>
          </w:p>
        </w:tc>
        <w:tc>
          <w:tcPr>
            <w:tcW w:w="3092"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提供营业执照与保险经营许可证描件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0"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7</w:t>
            </w:r>
          </w:p>
        </w:tc>
        <w:tc>
          <w:tcPr>
            <w:tcW w:w="949" w:type="dxa"/>
            <w:tcBorders>
              <w:tl2br w:val="nil"/>
              <w:tr2bl w:val="nil"/>
            </w:tcBorders>
            <w:tcMar>
              <w:top w:w="15" w:type="dxa"/>
              <w:left w:w="15" w:type="dxa"/>
              <w:right w:w="15" w:type="dxa"/>
            </w:tcMar>
            <w:vAlign w:val="center"/>
          </w:tcPr>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 xml:space="preserve">拟安排的项目主要团队 </w:t>
            </w:r>
          </w:p>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成员（主要技术人员）情况（含项目负责人）</w:t>
            </w:r>
          </w:p>
        </w:tc>
        <w:tc>
          <w:tcPr>
            <w:tcW w:w="866"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10</w:t>
            </w:r>
            <w:r>
              <w:rPr>
                <w:rFonts w:hint="eastAsia" w:asciiTheme="minorEastAsia" w:hAnsiTheme="minorEastAsia" w:eastAsiaTheme="minorEastAsia" w:cstheme="minorEastAsia"/>
                <w:sz w:val="21"/>
                <w:szCs w:val="21"/>
                <w:lang w:eastAsia="zh-CN"/>
              </w:rPr>
              <w:t>分</w:t>
            </w:r>
          </w:p>
        </w:tc>
        <w:tc>
          <w:tcPr>
            <w:tcW w:w="4570" w:type="dxa"/>
            <w:tcBorders>
              <w:tl2br w:val="nil"/>
              <w:tr2bl w:val="nil"/>
            </w:tcBorders>
            <w:tcMar>
              <w:top w:w="15" w:type="dxa"/>
              <w:left w:w="15" w:type="dxa"/>
              <w:right w:w="15" w:type="dxa"/>
            </w:tcMar>
            <w:vAlign w:val="center"/>
          </w:tcPr>
          <w:p>
            <w:pPr>
              <w:widowControl/>
              <w:spacing w:line="360" w:lineRule="exact"/>
              <w:jc w:val="left"/>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xml:space="preserve">1、拟安排项目主要团队成员中提供5人或以上的，得2分； </w:t>
            </w:r>
          </w:p>
          <w:p>
            <w:pPr>
              <w:widowControl/>
              <w:spacing w:line="360" w:lineRule="exact"/>
              <w:jc w:val="left"/>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xml:space="preserve">2、拟安排项目主要团队成员中具有法学专业本科及以上学历的，每提供一人得2分，最高得4分； </w:t>
            </w:r>
          </w:p>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 xml:space="preserve">3、拟安排项目主要团队成员中具有医学专业本科及以上学历的，每提供一人得2分最高得4 </w:t>
            </w:r>
          </w:p>
          <w:p>
            <w:pPr>
              <w:widowControl/>
              <w:spacing w:line="360" w:lineRule="exact"/>
              <w:jc w:val="left"/>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xml:space="preserve">分。 </w:t>
            </w:r>
          </w:p>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 xml:space="preserve">4、拟安排项目主要团队成员中具有保险专业本科及以上学历的，每提供一人得2分最高得4 </w:t>
            </w:r>
          </w:p>
          <w:p>
            <w:pPr>
              <w:spacing w:line="360" w:lineRule="exact"/>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分。</w:t>
            </w:r>
          </w:p>
          <w:p>
            <w:pPr>
              <w:pStyle w:val="2"/>
              <w:spacing w:line="360" w:lineRule="exact"/>
              <w:ind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以上项目得分累加不超过10分</w:t>
            </w:r>
          </w:p>
        </w:tc>
        <w:tc>
          <w:tcPr>
            <w:tcW w:w="3092" w:type="dxa"/>
            <w:tcBorders>
              <w:tl2br w:val="nil"/>
              <w:tr2bl w:val="nil"/>
            </w:tcBorders>
            <w:tcMar>
              <w:top w:w="15" w:type="dxa"/>
              <w:left w:w="15" w:type="dxa"/>
              <w:right w:w="15" w:type="dxa"/>
            </w:tcMar>
            <w:vAlign w:val="center"/>
          </w:tcPr>
          <w:p>
            <w:pPr>
              <w:widowControl/>
              <w:numPr>
                <w:ilvl w:val="255"/>
                <w:numId w:val="0"/>
              </w:numPr>
              <w:spacing w:line="360" w:lineRule="exact"/>
              <w:jc w:val="left"/>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xml:space="preserve">1.要求提供人员学历学位证书扫描件，以及学信网查询记录，原件备查。 </w:t>
            </w:r>
          </w:p>
          <w:p>
            <w:pPr>
              <w:pStyle w:val="2"/>
              <w:numPr>
                <w:ilvl w:val="255"/>
                <w:numId w:val="0"/>
              </w:numPr>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 xml:space="preserve">2.要求提供通过投标人缴纳的近三个月的社保证明作为本单位员工的证明依据。 </w:t>
            </w:r>
          </w:p>
          <w:p>
            <w:pPr>
              <w:spacing w:line="360" w:lineRule="exact"/>
              <w:jc w:val="center"/>
              <w:rPr>
                <w:rFonts w:hint="eastAsia" w:asciiTheme="minorEastAsia" w:hAnsiTheme="minorEastAsia" w:eastAsiaTheme="minorEastAsia" w:cstheme="minorEastAsia"/>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0"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8</w:t>
            </w:r>
          </w:p>
        </w:tc>
        <w:tc>
          <w:tcPr>
            <w:tcW w:w="949" w:type="dxa"/>
            <w:tcBorders>
              <w:tl2br w:val="nil"/>
              <w:tr2bl w:val="nil"/>
            </w:tcBorders>
            <w:tcMar>
              <w:top w:w="15" w:type="dxa"/>
              <w:left w:w="15" w:type="dxa"/>
              <w:right w:w="15" w:type="dxa"/>
            </w:tcMar>
            <w:vAlign w:val="center"/>
          </w:tcPr>
          <w:p>
            <w:pPr>
              <w:widowControl/>
              <w:spacing w:line="360" w:lineRule="exact"/>
              <w:jc w:val="left"/>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供应商综合偿付能力充足率情况</w:t>
            </w:r>
          </w:p>
        </w:tc>
        <w:tc>
          <w:tcPr>
            <w:tcW w:w="866"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10分</w:t>
            </w:r>
          </w:p>
        </w:tc>
        <w:tc>
          <w:tcPr>
            <w:tcW w:w="4570" w:type="dxa"/>
            <w:tcBorders>
              <w:tl2br w:val="nil"/>
              <w:tr2bl w:val="nil"/>
            </w:tcBorders>
            <w:tcMar>
              <w:top w:w="15" w:type="dxa"/>
              <w:left w:w="15" w:type="dxa"/>
              <w:right w:w="15" w:type="dxa"/>
            </w:tcMar>
            <w:vAlign w:val="center"/>
          </w:tcPr>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 xml:space="preserve">考察投标人总公司 2022 年综合偿付能力充足率情况： </w:t>
            </w:r>
          </w:p>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（1）综合偿付能力充足率≥220% 的，得</w:t>
            </w:r>
            <w:r>
              <w:rPr>
                <w:rFonts w:hint="eastAsia" w:asciiTheme="minorEastAsia" w:hAnsiTheme="minorEastAsia" w:eastAsiaTheme="minorEastAsia" w:cstheme="minorEastAsia"/>
                <w:color w:val="000000"/>
                <w:kern w:val="0"/>
                <w:sz w:val="21"/>
                <w:szCs w:val="21"/>
                <w:lang w:val="en-US" w:eastAsia="zh-CN" w:bidi="ar"/>
              </w:rPr>
              <w:t>10</w:t>
            </w:r>
            <w:r>
              <w:rPr>
                <w:rFonts w:hint="eastAsia" w:asciiTheme="minorEastAsia" w:hAnsiTheme="minorEastAsia" w:eastAsiaTheme="minorEastAsia" w:cstheme="minorEastAsia"/>
                <w:color w:val="000000"/>
                <w:kern w:val="0"/>
                <w:sz w:val="21"/>
                <w:szCs w:val="21"/>
                <w:lang w:bidi="ar"/>
              </w:rPr>
              <w:t xml:space="preserve">分； </w:t>
            </w:r>
          </w:p>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（2）150%≤综合偿付能力充足率＜ 220%</w:t>
            </w:r>
            <w:r>
              <w:rPr>
                <w:rFonts w:hint="eastAsia" w:asciiTheme="minorEastAsia" w:hAnsiTheme="minorEastAsia" w:eastAsia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 xml:space="preserve">得 </w:t>
            </w:r>
            <w:r>
              <w:rPr>
                <w:rFonts w:hint="eastAsia" w:asciiTheme="minorEastAsia" w:hAnsiTheme="minorEastAsia" w:eastAsiaTheme="minorEastAsia" w:cstheme="minorEastAsia"/>
                <w:color w:val="000000"/>
                <w:kern w:val="0"/>
                <w:sz w:val="21"/>
                <w:szCs w:val="21"/>
                <w:lang w:val="en-US" w:eastAsia="zh-CN" w:bidi="ar"/>
              </w:rPr>
              <w:t>8</w:t>
            </w:r>
            <w:r>
              <w:rPr>
                <w:rFonts w:hint="eastAsia" w:asciiTheme="minorEastAsia" w:hAnsiTheme="minorEastAsia" w:eastAsiaTheme="minorEastAsia" w:cstheme="minorEastAsia"/>
                <w:color w:val="000000"/>
                <w:kern w:val="0"/>
                <w:sz w:val="21"/>
                <w:szCs w:val="21"/>
                <w:lang w:bidi="ar"/>
              </w:rPr>
              <w:t xml:space="preserve">分； </w:t>
            </w:r>
          </w:p>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（3）100%≤综合偿付能力充足率＜ 150%</w:t>
            </w:r>
            <w:r>
              <w:rPr>
                <w:rFonts w:hint="eastAsia" w:asciiTheme="minorEastAsia" w:hAnsiTheme="minorEastAsia" w:eastAsia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得</w:t>
            </w:r>
            <w:r>
              <w:rPr>
                <w:rFonts w:hint="eastAsia" w:asciiTheme="minorEastAsia" w:hAnsiTheme="minorEastAsia" w:eastAsiaTheme="minorEastAsia" w:cstheme="minorEastAsia"/>
                <w:color w:val="000000"/>
                <w:kern w:val="0"/>
                <w:sz w:val="21"/>
                <w:szCs w:val="21"/>
                <w:lang w:val="en-US" w:eastAsia="zh-CN" w:bidi="ar"/>
              </w:rPr>
              <w:t>4</w:t>
            </w:r>
            <w:r>
              <w:rPr>
                <w:rFonts w:hint="eastAsia" w:asciiTheme="minorEastAsia" w:hAnsiTheme="minorEastAsia" w:eastAsiaTheme="minorEastAsia" w:cstheme="minorEastAsia"/>
                <w:color w:val="000000"/>
                <w:kern w:val="0"/>
                <w:sz w:val="21"/>
                <w:szCs w:val="21"/>
                <w:lang w:bidi="ar"/>
              </w:rPr>
              <w:t xml:space="preserve">分。 </w:t>
            </w:r>
          </w:p>
          <w:p>
            <w:pPr>
              <w:widowControl/>
              <w:spacing w:line="360" w:lineRule="exact"/>
              <w:jc w:val="left"/>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（4）综合偿付能力充足率＜100%</w:t>
            </w:r>
            <w:r>
              <w:rPr>
                <w:rFonts w:hint="eastAsia" w:asciiTheme="minorEastAsia" w:hAnsiTheme="minorEastAsia" w:eastAsia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 xml:space="preserve">不得分。 </w:t>
            </w:r>
          </w:p>
        </w:tc>
        <w:tc>
          <w:tcPr>
            <w:tcW w:w="3092" w:type="dxa"/>
            <w:tcBorders>
              <w:tl2br w:val="nil"/>
              <w:tr2bl w:val="nil"/>
            </w:tcBorders>
            <w:tcMar>
              <w:top w:w="15" w:type="dxa"/>
              <w:left w:w="15" w:type="dxa"/>
              <w:right w:w="15" w:type="dxa"/>
            </w:tcMar>
            <w:vAlign w:val="center"/>
          </w:tcPr>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提供“中国保险行业协会”—“信息披露”栏目—“</w:t>
            </w:r>
            <w:r>
              <w:rPr>
                <w:rFonts w:hint="eastAsia" w:asciiTheme="minorEastAsia" w:hAnsiTheme="minorEastAsia" w:cstheme="minorEastAsia"/>
                <w:color w:val="000000"/>
                <w:kern w:val="0"/>
                <w:sz w:val="21"/>
                <w:szCs w:val="21"/>
                <w:lang w:val="en-US" w:eastAsia="zh-CN" w:bidi="ar"/>
              </w:rPr>
              <w:t>保险公司年度信息</w:t>
            </w:r>
            <w:r>
              <w:rPr>
                <w:rFonts w:hint="eastAsia" w:asciiTheme="minorEastAsia" w:hAnsiTheme="minorEastAsia" w:eastAsiaTheme="minorEastAsia" w:cstheme="minorEastAsia"/>
                <w:color w:val="000000"/>
                <w:kern w:val="0"/>
                <w:sz w:val="21"/>
                <w:szCs w:val="21"/>
                <w:lang w:bidi="ar"/>
              </w:rPr>
              <w:t xml:space="preserve">披露” 页面下载对应保险公司偿付能力报告（2022年）扫描件，仅需提供首页、综合偿付能力充足率页等关键部分相关截图，并加盖投标人公章。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0" w:hRule="atLeast"/>
          <w:jc w:val="center"/>
        </w:trPr>
        <w:tc>
          <w:tcPr>
            <w:tcW w:w="421"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9</w:t>
            </w:r>
          </w:p>
        </w:tc>
        <w:tc>
          <w:tcPr>
            <w:tcW w:w="949" w:type="dxa"/>
            <w:tcBorders>
              <w:tl2br w:val="nil"/>
              <w:tr2bl w:val="nil"/>
            </w:tcBorders>
            <w:tcMar>
              <w:top w:w="15" w:type="dxa"/>
              <w:left w:w="15" w:type="dxa"/>
              <w:right w:w="15" w:type="dxa"/>
            </w:tcMar>
            <w:vAlign w:val="center"/>
          </w:tcPr>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bidi="ar"/>
              </w:rPr>
              <w:t xml:space="preserve">供应商同类项目业绩情 </w:t>
            </w:r>
          </w:p>
          <w:p>
            <w:pPr>
              <w:widowControl/>
              <w:spacing w:line="360" w:lineRule="exact"/>
              <w:jc w:val="left"/>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况</w:t>
            </w:r>
          </w:p>
        </w:tc>
        <w:tc>
          <w:tcPr>
            <w:tcW w:w="866" w:type="dxa"/>
            <w:tcBorders>
              <w:tl2br w:val="nil"/>
              <w:tr2bl w:val="nil"/>
            </w:tcBorders>
            <w:tcMar>
              <w:top w:w="15" w:type="dxa"/>
              <w:left w:w="15" w:type="dxa"/>
              <w:right w:w="15" w:type="dxa"/>
            </w:tcMar>
            <w:vAlign w:val="center"/>
          </w:tcPr>
          <w:p>
            <w:pPr>
              <w:spacing w:line="360" w:lineRule="exac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10</w:t>
            </w:r>
            <w:r>
              <w:rPr>
                <w:rFonts w:hint="eastAsia" w:asciiTheme="minorEastAsia" w:hAnsiTheme="minorEastAsia" w:eastAsiaTheme="minorEastAsia" w:cstheme="minorEastAsia"/>
                <w:sz w:val="21"/>
                <w:szCs w:val="21"/>
                <w:lang w:eastAsia="zh-CN"/>
              </w:rPr>
              <w:t>分</w:t>
            </w:r>
          </w:p>
        </w:tc>
        <w:tc>
          <w:tcPr>
            <w:tcW w:w="4570" w:type="dxa"/>
            <w:tcBorders>
              <w:tl2br w:val="nil"/>
              <w:tr2bl w:val="nil"/>
            </w:tcBorders>
            <w:tcMar>
              <w:top w:w="15" w:type="dxa"/>
              <w:left w:w="15" w:type="dxa"/>
              <w:right w:w="15" w:type="dxa"/>
            </w:tcMar>
            <w:vAlign w:val="center"/>
          </w:tcPr>
          <w:p>
            <w:pPr>
              <w:widowControl/>
              <w:spacing w:line="360" w:lineRule="exact"/>
              <w:jc w:val="left"/>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xml:space="preserve">根据投标人提供在 </w:t>
            </w:r>
            <w:r>
              <w:rPr>
                <w:rFonts w:hint="eastAsia" w:asciiTheme="minorEastAsia" w:hAnsiTheme="minorEastAsia" w:eastAsiaTheme="minorEastAsia" w:cstheme="minorEastAsia"/>
                <w:color w:val="000000"/>
                <w:kern w:val="0"/>
                <w:sz w:val="21"/>
                <w:szCs w:val="21"/>
                <w:lang w:val="en-US" w:eastAsia="zh-CN" w:bidi="ar"/>
              </w:rPr>
              <w:t>2020</w:t>
            </w:r>
            <w:r>
              <w:rPr>
                <w:rFonts w:hint="eastAsia" w:asciiTheme="minorEastAsia" w:hAnsiTheme="minorEastAsia" w:eastAsiaTheme="minorEastAsia" w:cstheme="minorEastAsia"/>
                <w:color w:val="000000"/>
                <w:kern w:val="0"/>
                <w:sz w:val="21"/>
                <w:szCs w:val="21"/>
                <w:lang w:bidi="ar"/>
              </w:rPr>
              <w:t xml:space="preserve">年1月1日至本项目开标之日前（以合同或中标通知书或保单签订日期为准）承保医疗机构医疗责任保险业务数量，每提供一个符合要求的业绩的证明材料，得2分，本项最高分为10分 </w:t>
            </w:r>
          </w:p>
        </w:tc>
        <w:tc>
          <w:tcPr>
            <w:tcW w:w="3092" w:type="dxa"/>
            <w:tcBorders>
              <w:tl2br w:val="nil"/>
              <w:tr2bl w:val="nil"/>
            </w:tcBorders>
            <w:tcMar>
              <w:top w:w="15" w:type="dxa"/>
              <w:left w:w="15" w:type="dxa"/>
              <w:right w:w="15" w:type="dxa"/>
            </w:tcMar>
            <w:vAlign w:val="center"/>
          </w:tcPr>
          <w:p>
            <w:pPr>
              <w:widowControl/>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提供合同或</w:t>
            </w:r>
            <w:r>
              <w:rPr>
                <w:rFonts w:hint="eastAsia" w:asciiTheme="minorEastAsia" w:hAnsiTheme="minorEastAsia" w:eastAsiaTheme="minorEastAsia" w:cstheme="minorEastAsia"/>
                <w:color w:val="000000"/>
                <w:kern w:val="0"/>
                <w:sz w:val="21"/>
                <w:szCs w:val="21"/>
                <w:lang w:bidi="ar"/>
              </w:rPr>
              <w:t>标通知书或保单扫描件，（以签订日期为准），原件备查</w:t>
            </w:r>
          </w:p>
        </w:tc>
      </w:tr>
    </w:tbl>
    <w:p>
      <w:pPr>
        <w:widowControl/>
        <w:spacing w:line="560" w:lineRule="exact"/>
        <w:ind w:firstLine="566" w:firstLineChars="177"/>
        <w:jc w:val="left"/>
        <w:rPr>
          <w:rFonts w:hint="eastAsia" w:ascii="仿宋_GB2312" w:eastAsia="仿宋_GB2312"/>
          <w:sz w:val="32"/>
          <w:szCs w:val="32"/>
        </w:rPr>
      </w:pPr>
    </w:p>
    <w:p>
      <w:pPr>
        <w:spacing w:line="400" w:lineRule="exact"/>
      </w:pPr>
    </w:p>
    <w:sectPr>
      <w:footerReference r:id="rId3" w:type="default"/>
      <w:pgSz w:w="11906" w:h="16838"/>
      <w:pgMar w:top="850" w:right="1800" w:bottom="1440" w:left="113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 w:name="方正仿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4FAD"/>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380241"/>
    <w:rsid w:val="07C94BE1"/>
    <w:rsid w:val="07DE6769"/>
    <w:rsid w:val="09372641"/>
    <w:rsid w:val="095A6A56"/>
    <w:rsid w:val="09CA2C87"/>
    <w:rsid w:val="09E54036"/>
    <w:rsid w:val="0A325ADB"/>
    <w:rsid w:val="0ABF45FF"/>
    <w:rsid w:val="0B216CF4"/>
    <w:rsid w:val="0B226C57"/>
    <w:rsid w:val="0B353F6E"/>
    <w:rsid w:val="0C4A01D3"/>
    <w:rsid w:val="0C913FB2"/>
    <w:rsid w:val="0DE63924"/>
    <w:rsid w:val="0E5D7936"/>
    <w:rsid w:val="0F26150C"/>
    <w:rsid w:val="0F3436E0"/>
    <w:rsid w:val="0F5721E2"/>
    <w:rsid w:val="0F6D5B99"/>
    <w:rsid w:val="1061346A"/>
    <w:rsid w:val="10FC4462"/>
    <w:rsid w:val="11C54B88"/>
    <w:rsid w:val="12100E62"/>
    <w:rsid w:val="12D612E8"/>
    <w:rsid w:val="12F150B5"/>
    <w:rsid w:val="132D2513"/>
    <w:rsid w:val="137B38DC"/>
    <w:rsid w:val="13E63669"/>
    <w:rsid w:val="146B53DF"/>
    <w:rsid w:val="14BA32E1"/>
    <w:rsid w:val="16803C1A"/>
    <w:rsid w:val="16AC0EAA"/>
    <w:rsid w:val="16D20FE6"/>
    <w:rsid w:val="17373CEB"/>
    <w:rsid w:val="174A3FF1"/>
    <w:rsid w:val="17500414"/>
    <w:rsid w:val="178339EB"/>
    <w:rsid w:val="18254B65"/>
    <w:rsid w:val="182F4CA9"/>
    <w:rsid w:val="184039D1"/>
    <w:rsid w:val="188C4A43"/>
    <w:rsid w:val="18B92AF3"/>
    <w:rsid w:val="18CC494A"/>
    <w:rsid w:val="195C3707"/>
    <w:rsid w:val="198232D2"/>
    <w:rsid w:val="19873C6D"/>
    <w:rsid w:val="1B040AF0"/>
    <w:rsid w:val="1B7222D0"/>
    <w:rsid w:val="1B7F6894"/>
    <w:rsid w:val="1B811C08"/>
    <w:rsid w:val="1C403A91"/>
    <w:rsid w:val="1CAF1766"/>
    <w:rsid w:val="1DA9388C"/>
    <w:rsid w:val="1DD80BF7"/>
    <w:rsid w:val="1E8B6382"/>
    <w:rsid w:val="1E9268BE"/>
    <w:rsid w:val="1ECF4D3F"/>
    <w:rsid w:val="209F0FF7"/>
    <w:rsid w:val="20F56432"/>
    <w:rsid w:val="21076199"/>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87326EC"/>
    <w:rsid w:val="29D06D9D"/>
    <w:rsid w:val="29DA40B8"/>
    <w:rsid w:val="29FD5AAD"/>
    <w:rsid w:val="2A931417"/>
    <w:rsid w:val="2AD91234"/>
    <w:rsid w:val="2B4F2CEF"/>
    <w:rsid w:val="2BBC1282"/>
    <w:rsid w:val="2BC2399E"/>
    <w:rsid w:val="2BEC1302"/>
    <w:rsid w:val="2C182D55"/>
    <w:rsid w:val="2CED706D"/>
    <w:rsid w:val="2CF35149"/>
    <w:rsid w:val="2E102ABB"/>
    <w:rsid w:val="2FCA7EE6"/>
    <w:rsid w:val="2FEE15A0"/>
    <w:rsid w:val="303A1F05"/>
    <w:rsid w:val="30FB7E9E"/>
    <w:rsid w:val="323325C4"/>
    <w:rsid w:val="324D2A55"/>
    <w:rsid w:val="3292324B"/>
    <w:rsid w:val="33504021"/>
    <w:rsid w:val="34C82575"/>
    <w:rsid w:val="34D357FA"/>
    <w:rsid w:val="368E6692"/>
    <w:rsid w:val="36B064EA"/>
    <w:rsid w:val="3794592A"/>
    <w:rsid w:val="3822667D"/>
    <w:rsid w:val="38AA704F"/>
    <w:rsid w:val="38B05953"/>
    <w:rsid w:val="38B745E0"/>
    <w:rsid w:val="3998117C"/>
    <w:rsid w:val="39D45C36"/>
    <w:rsid w:val="39EB38A2"/>
    <w:rsid w:val="3A8B6411"/>
    <w:rsid w:val="3B58176B"/>
    <w:rsid w:val="3B9D6276"/>
    <w:rsid w:val="3BFA37AC"/>
    <w:rsid w:val="3C2A2DAA"/>
    <w:rsid w:val="3CB815AB"/>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EFA24EA"/>
    <w:rsid w:val="4FD65049"/>
    <w:rsid w:val="50C20C69"/>
    <w:rsid w:val="50CB7074"/>
    <w:rsid w:val="511A355D"/>
    <w:rsid w:val="513762CB"/>
    <w:rsid w:val="51950AC2"/>
    <w:rsid w:val="52C00CFA"/>
    <w:rsid w:val="53E94A32"/>
    <w:rsid w:val="54A47FA0"/>
    <w:rsid w:val="55B5596C"/>
    <w:rsid w:val="56D145E5"/>
    <w:rsid w:val="5802534B"/>
    <w:rsid w:val="59A61C5F"/>
    <w:rsid w:val="5A2D1CC6"/>
    <w:rsid w:val="5AF76ED7"/>
    <w:rsid w:val="5BB61575"/>
    <w:rsid w:val="5D8878AB"/>
    <w:rsid w:val="5DC3307D"/>
    <w:rsid w:val="5EA6596C"/>
    <w:rsid w:val="5ED65EE2"/>
    <w:rsid w:val="5FE55220"/>
    <w:rsid w:val="60132AC1"/>
    <w:rsid w:val="6066691B"/>
    <w:rsid w:val="60997887"/>
    <w:rsid w:val="60AC159B"/>
    <w:rsid w:val="611F2602"/>
    <w:rsid w:val="61F31C9B"/>
    <w:rsid w:val="61FC3938"/>
    <w:rsid w:val="62146F60"/>
    <w:rsid w:val="62840FD1"/>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AB0C17"/>
    <w:rsid w:val="6AB04A26"/>
    <w:rsid w:val="6B4E5B09"/>
    <w:rsid w:val="6BBB0CC6"/>
    <w:rsid w:val="6C0762BF"/>
    <w:rsid w:val="6C4838F4"/>
    <w:rsid w:val="6D0A0A3D"/>
    <w:rsid w:val="6D564F88"/>
    <w:rsid w:val="6E582E85"/>
    <w:rsid w:val="6E8C507E"/>
    <w:rsid w:val="6EA93056"/>
    <w:rsid w:val="6EB1235D"/>
    <w:rsid w:val="6F520277"/>
    <w:rsid w:val="6F9B6713"/>
    <w:rsid w:val="70BF5C7A"/>
    <w:rsid w:val="71246208"/>
    <w:rsid w:val="71BE1F67"/>
    <w:rsid w:val="729A42C4"/>
    <w:rsid w:val="731E7004"/>
    <w:rsid w:val="7353288B"/>
    <w:rsid w:val="73535858"/>
    <w:rsid w:val="73600286"/>
    <w:rsid w:val="7379541C"/>
    <w:rsid w:val="73B97203"/>
    <w:rsid w:val="73BD7DF0"/>
    <w:rsid w:val="73C940A2"/>
    <w:rsid w:val="74697AB7"/>
    <w:rsid w:val="754E0BFA"/>
    <w:rsid w:val="75CD0D5C"/>
    <w:rsid w:val="760213C2"/>
    <w:rsid w:val="764E0276"/>
    <w:rsid w:val="76F472B2"/>
    <w:rsid w:val="775F21CA"/>
    <w:rsid w:val="778219EA"/>
    <w:rsid w:val="77BD5437"/>
    <w:rsid w:val="7807665E"/>
    <w:rsid w:val="78142FAE"/>
    <w:rsid w:val="792953D2"/>
    <w:rsid w:val="7B6B2B44"/>
    <w:rsid w:val="7B7754C9"/>
    <w:rsid w:val="7CB3340E"/>
    <w:rsid w:val="7CFB08E4"/>
    <w:rsid w:val="7D930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1"/>
    <w:basedOn w:val="1"/>
    <w:qFormat/>
    <w:uiPriority w:val="0"/>
    <w:pPr>
      <w:ind w:firstLine="420" w:firstLineChars="200"/>
    </w:pPr>
  </w:style>
  <w:style w:type="paragraph" w:styleId="5">
    <w:name w:val="Normal Indent"/>
    <w:basedOn w:val="1"/>
    <w:qFormat/>
    <w:uiPriority w:val="0"/>
    <w:pPr>
      <w:ind w:firstLine="420" w:firstLineChars="200"/>
    </w:pPr>
  </w:style>
  <w:style w:type="paragraph" w:styleId="6">
    <w:name w:val="annotation text"/>
    <w:basedOn w:val="1"/>
    <w:link w:val="35"/>
    <w:semiHidden/>
    <w:unhideWhenUsed/>
    <w:qFormat/>
    <w:uiPriority w:val="99"/>
    <w:pPr>
      <w:jc w:val="left"/>
    </w:pPr>
  </w:style>
  <w:style w:type="paragraph" w:styleId="7">
    <w:name w:val="Salutation"/>
    <w:basedOn w:val="1"/>
    <w:next w:val="1"/>
    <w:qFormat/>
    <w:uiPriority w:val="99"/>
  </w:style>
  <w:style w:type="paragraph" w:styleId="8">
    <w:name w:val="Body Text"/>
    <w:basedOn w:val="1"/>
    <w:next w:val="9"/>
    <w:qFormat/>
    <w:uiPriority w:val="0"/>
    <w:pPr>
      <w:spacing w:after="120"/>
    </w:pPr>
  </w:style>
  <w:style w:type="paragraph" w:styleId="9">
    <w:name w:val="Body Text First Indent"/>
    <w:basedOn w:val="8"/>
    <w:qFormat/>
    <w:uiPriority w:val="99"/>
    <w:pPr>
      <w:ind w:firstLine="420" w:firstLineChars="100"/>
    </w:pPr>
  </w:style>
  <w:style w:type="paragraph" w:styleId="10">
    <w:name w:val="Plain Text"/>
    <w:basedOn w:val="1"/>
    <w:link w:val="34"/>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29"/>
    <w:semiHidden/>
    <w:unhideWhenUsed/>
    <w:qFormat/>
    <w:uiPriority w:val="99"/>
    <w:rPr>
      <w:sz w:val="18"/>
      <w:szCs w:val="18"/>
    </w:rPr>
  </w:style>
  <w:style w:type="paragraph" w:styleId="12">
    <w:name w:val="footer"/>
    <w:basedOn w:val="1"/>
    <w:link w:val="24"/>
    <w:unhideWhenUsed/>
    <w:qFormat/>
    <w:uiPriority w:val="99"/>
    <w:pPr>
      <w:tabs>
        <w:tab w:val="center" w:pos="4153"/>
        <w:tab w:val="right" w:pos="8306"/>
      </w:tabs>
      <w:snapToGrid w:val="0"/>
      <w:jc w:val="left"/>
    </w:pPr>
    <w:rPr>
      <w:sz w:val="18"/>
      <w:szCs w:val="18"/>
    </w:rPr>
  </w:style>
  <w:style w:type="paragraph" w:styleId="13">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6"/>
    <w:next w:val="6"/>
    <w:link w:val="36"/>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3"/>
    <w:qFormat/>
    <w:uiPriority w:val="99"/>
    <w:rPr>
      <w:sz w:val="18"/>
      <w:szCs w:val="18"/>
    </w:rPr>
  </w:style>
  <w:style w:type="character" w:customStyle="1" w:styleId="24">
    <w:name w:val="页脚 字符"/>
    <w:basedOn w:val="19"/>
    <w:link w:val="12"/>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1"/>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character" w:customStyle="1" w:styleId="32">
    <w:name w:val="font41"/>
    <w:basedOn w:val="19"/>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9"/>
    <w:link w:val="10"/>
    <w:qFormat/>
    <w:uiPriority w:val="0"/>
    <w:rPr>
      <w:rFonts w:ascii="宋体" w:hAnsi="Tms Rmn"/>
      <w:sz w:val="21"/>
    </w:rPr>
  </w:style>
  <w:style w:type="character" w:customStyle="1" w:styleId="35">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6"/>
    <w:semiHidden/>
    <w:qFormat/>
    <w:uiPriority w:val="99"/>
    <w:rPr>
      <w:rFonts w:asciiTheme="minorHAnsi" w:hAnsiTheme="minorHAnsi" w:eastAsiaTheme="minorEastAsia" w:cstheme="minorBidi"/>
      <w:b/>
      <w:bCs/>
      <w:kern w:val="2"/>
      <w:sz w:val="21"/>
      <w:szCs w:val="22"/>
    </w:rPr>
  </w:style>
  <w:style w:type="paragraph" w:customStyle="1" w:styleId="37">
    <w:name w:val="Table Paragraph"/>
    <w:basedOn w:val="1"/>
    <w:qFormat/>
    <w:uiPriority w:val="1"/>
    <w:rPr>
      <w:rFonts w:ascii="宋体" w:hAnsi="宋体" w:eastAsia="宋体" w:cs="宋体"/>
      <w:lang w:val="zh-CN" w:eastAsia="zh-CN" w:bidi="zh-CN"/>
    </w:rPr>
  </w:style>
  <w:style w:type="paragraph" w:customStyle="1" w:styleId="38">
    <w:name w:val="正文缩进3"/>
    <w:basedOn w:val="1"/>
    <w:qFormat/>
    <w:uiPriority w:val="0"/>
    <w:pPr>
      <w:ind w:firstLine="420"/>
    </w:pPr>
    <w:rPr>
      <w:rFonts w:ascii="宋体" w:hAnsi="Calibri"/>
      <w:kern w:val="0"/>
      <w:sz w:val="3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3</TotalTime>
  <ScaleCrop>false</ScaleCrop>
  <LinksUpToDate>false</LinksUpToDate>
  <CharactersWithSpaces>3474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2023-11-21T02:09:04Z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2119F912CAF444D1B0567C47AE86A8CF_13</vt:lpwstr>
  </property>
</Properties>
</file>