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Arial" w:hAnsi="Arial" w:eastAsia="黑体" w:cs="Times New Roman"/>
          <w:b/>
          <w:bCs/>
          <w:color w:val="000000" w:themeColor="text1"/>
          <w:sz w:val="32"/>
          <w:szCs w:val="32"/>
          <w14:textFill>
            <w14:solidFill>
              <w14:schemeClr w14:val="tx1"/>
            </w14:solidFill>
          </w14:textFill>
        </w:rPr>
      </w:pPr>
      <w:bookmarkStart w:id="0" w:name="_Hlt101843627"/>
      <w:bookmarkEnd w:id="0"/>
      <w:bookmarkStart w:id="1" w:name="_Hlt101233737"/>
      <w:bookmarkEnd w:id="1"/>
      <w:r>
        <w:rPr>
          <w:rFonts w:hint="eastAsia" w:ascii="Arial" w:hAnsi="Arial" w:eastAsia="黑体" w:cs="Times New Roman"/>
          <w:b/>
          <w:bCs/>
          <w:color w:val="000000" w:themeColor="text1"/>
          <w:sz w:val="32"/>
          <w:szCs w:val="32"/>
          <w14:textFill>
            <w14:solidFill>
              <w14:schemeClr w14:val="tx1"/>
            </w14:solidFill>
          </w14:textFill>
        </w:rPr>
        <w:t>附件1：</w:t>
      </w:r>
      <w:r>
        <w:rPr>
          <w:rFonts w:hint="eastAsia" w:ascii="Arial" w:hAnsi="Arial" w:eastAsia="黑体" w:cs="Times New Roman"/>
          <w:b/>
          <w:bCs/>
          <w:color w:val="000000" w:themeColor="text1"/>
          <w:sz w:val="32"/>
          <w:szCs w:val="32"/>
          <w:lang w:val="en-US" w:eastAsia="zh-CN"/>
          <w14:textFill>
            <w14:solidFill>
              <w14:schemeClr w14:val="tx1"/>
            </w14:solidFill>
          </w14:textFill>
        </w:rPr>
        <w:t>项目</w:t>
      </w:r>
      <w:r>
        <w:rPr>
          <w:rFonts w:hint="eastAsia" w:ascii="Arial" w:hAnsi="Arial" w:eastAsia="黑体" w:cs="Times New Roman"/>
          <w:b/>
          <w:bCs/>
          <w:color w:val="000000" w:themeColor="text1"/>
          <w:sz w:val="32"/>
          <w:szCs w:val="32"/>
          <w14:textFill>
            <w14:solidFill>
              <w14:schemeClr w14:val="tx1"/>
            </w14:solidFill>
          </w14:textFill>
        </w:rPr>
        <w:t>需求</w:t>
      </w:r>
    </w:p>
    <w:p>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项目概述：</w:t>
      </w:r>
    </w:p>
    <w:p>
      <w:pPr>
        <w:autoSpaceDE/>
        <w:autoSpaceDN/>
        <w:adjustRightInd/>
        <w:snapToGrid/>
        <w:spacing w:line="500" w:lineRule="exact"/>
        <w:ind w:firstLine="480" w:firstLineChars="200"/>
        <w:jc w:val="left"/>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为深入贯彻习近平新时代中国特色社会主义思想，大力传承中华传统文化，营造欢乐文明、喜庆祥和的节日氛围，现采购2024年元旦、春节氛围营造设计</w:t>
      </w:r>
      <w:r>
        <w:rPr>
          <w:rFonts w:hint="eastAsia" w:ascii="宋体" w:hAnsi="宋体" w:eastAsia="宋体" w:cs="宋体"/>
          <w:color w:val="000000" w:themeColor="text1"/>
          <w:kern w:val="2"/>
          <w:sz w:val="24"/>
          <w:szCs w:val="24"/>
          <w:lang w:val="en-US" w:eastAsia="zh-CN"/>
          <w14:textFill>
            <w14:solidFill>
              <w14:schemeClr w14:val="tx1"/>
            </w14:solidFill>
          </w14:textFill>
        </w:rPr>
        <w:t>及</w:t>
      </w:r>
      <w:r>
        <w:rPr>
          <w:rFonts w:hint="default" w:ascii="宋体" w:hAnsi="宋体" w:eastAsia="宋体" w:cs="宋体"/>
          <w:color w:val="000000" w:themeColor="text1"/>
          <w:kern w:val="2"/>
          <w:sz w:val="24"/>
          <w:szCs w:val="24"/>
          <w:lang w:val="en-US" w:eastAsia="zh-CN"/>
          <w14:textFill>
            <w14:solidFill>
              <w14:schemeClr w14:val="tx1"/>
            </w14:solidFill>
          </w14:textFill>
        </w:rPr>
        <w:t>制作项目，分两批次实施</w:t>
      </w:r>
      <w:r>
        <w:rPr>
          <w:rFonts w:hint="eastAsia" w:ascii="宋体" w:hAnsi="宋体" w:eastAsia="宋体" w:cs="宋体"/>
          <w:color w:val="000000" w:themeColor="text1"/>
          <w:kern w:val="2"/>
          <w:sz w:val="24"/>
          <w:szCs w:val="24"/>
          <w:lang w:val="en-US" w:eastAsia="zh-CN"/>
          <w14:textFill>
            <w14:solidFill>
              <w14:schemeClr w14:val="tx1"/>
            </w14:solidFill>
          </w14:textFill>
        </w:rPr>
        <w:t>。</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20" w:firstLineChars="200"/>
        <w:textAlignment w:val="auto"/>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二、</w:t>
      </w: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商务要求：</w:t>
      </w:r>
    </w:p>
    <w:p>
      <w:pPr>
        <w:autoSpaceDE/>
        <w:autoSpaceDN/>
        <w:adjustRightInd/>
        <w:snapToGrid/>
        <w:spacing w:line="500" w:lineRule="exact"/>
        <w:ind w:firstLine="480" w:firstLineChars="200"/>
        <w:jc w:val="left"/>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1. 服务期限：第一批次，共计8日，预计竣工亮灯时间2023年12月28日19:00时，拆除时间2024年01月03日-2024年01月4日拆除完成；第二批次，共计22日，预计竣工亮灯时间2024年2月5日19:00时，拆除时间2024年2月25日-2024年2月26日</w:t>
      </w:r>
      <w:bookmarkStart w:id="3" w:name="_GoBack"/>
      <w:bookmarkEnd w:id="3"/>
      <w:r>
        <w:rPr>
          <w:rFonts w:hint="eastAsia" w:ascii="宋体" w:hAnsi="宋体" w:eastAsia="宋体" w:cs="宋体"/>
          <w:color w:val="000000" w:themeColor="text1"/>
          <w:kern w:val="2"/>
          <w:sz w:val="24"/>
          <w:szCs w:val="24"/>
          <w:lang w:val="en-US" w:eastAsia="zh-CN"/>
          <w14:textFill>
            <w14:solidFill>
              <w14:schemeClr w14:val="tx1"/>
            </w14:solidFill>
          </w14:textFill>
        </w:rPr>
        <w:t>拆除完成。</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2. 服务地点：成都市龙泉驿区妇幼保健院</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3. 付款方式和条件：合同签订后预先支付50%，待春节氛围营造项目拆除完成后支付合同剩余金额。</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4. 项目验收：</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 xml:space="preserve">4.1达到采购人安全生产管理条例要求，用电规范、设计合理。 </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4.2采购人对照设计的效果和外观进行验收，若效果图与实物差距大，采购人有权要求整改。</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4.3延期完工：不允许延期，必须在规定竣工前完成，否则采购人有权没收尾款。</w:t>
      </w:r>
    </w:p>
    <w:p>
      <w:pPr>
        <w:spacing w:line="500" w:lineRule="exact"/>
        <w:ind w:firstLine="480" w:firstLineChars="200"/>
        <w:jc w:val="left"/>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5、维护维保：</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5.1运维期限：施工安装完毕，经采购人验收合格至拆除终止。</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5.2运维期内，提供不少于1次物品维护服务，并在24小时内补齐非人为损坏装饰品，以保证氛围营造效果。</w:t>
      </w:r>
    </w:p>
    <w:p>
      <w:pPr>
        <w:autoSpaceDE/>
        <w:autoSpaceDN/>
        <w:adjustRightInd/>
        <w:snapToGrid/>
        <w:spacing w:line="500" w:lineRule="exact"/>
        <w:ind w:firstLine="480" w:firstLineChars="200"/>
        <w:jc w:val="left"/>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5.3若安全隐患问题，成交供应商必须2小时内到现场进行处置。</w:t>
      </w:r>
    </w:p>
    <w:p>
      <w:pPr>
        <w:keepNext w:val="0"/>
        <w:keepLines w:val="0"/>
        <w:pageBreakBefore w:val="0"/>
        <w:widowControl w:val="0"/>
        <w:numPr>
          <w:ilvl w:val="-1"/>
          <w:numId w:val="0"/>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三、项目服务内容及要求：</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（一）本项目氛围营造服务范围</w:t>
      </w:r>
    </w:p>
    <w:p>
      <w:pPr>
        <w:spacing w:line="500" w:lineRule="exact"/>
        <w:ind w:firstLine="480" w:firstLineChars="200"/>
        <w:jc w:val="left"/>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成都市龙泉驿区妇幼保健院1号门至门诊部中间</w:t>
      </w:r>
      <w:r>
        <w:rPr>
          <w:rFonts w:hint="default" w:ascii="宋体" w:hAnsi="宋体" w:eastAsia="宋体" w:cs="宋体"/>
          <w:color w:val="000000" w:themeColor="text1"/>
          <w:kern w:val="2"/>
          <w:sz w:val="24"/>
          <w:szCs w:val="24"/>
          <w:lang w:val="en-US"/>
          <w14:textFill>
            <w14:solidFill>
              <w14:schemeClr w14:val="tx1"/>
            </w14:solidFill>
          </w14:textFill>
        </w:rPr>
        <w:t>区域</w:t>
      </w:r>
      <w:r>
        <w:rPr>
          <w:rFonts w:hint="eastAsia" w:ascii="宋体" w:hAnsi="宋体" w:eastAsia="宋体" w:cs="宋体"/>
          <w:color w:val="000000" w:themeColor="text1"/>
          <w:kern w:val="2"/>
          <w:sz w:val="24"/>
          <w:szCs w:val="24"/>
          <w:lang w:val="en-US" w:eastAsia="zh-CN"/>
          <w14:textFill>
            <w14:solidFill>
              <w14:schemeClr w14:val="tx1"/>
            </w14:solidFill>
          </w14:textFill>
        </w:rPr>
        <w:t>及院区内各通道、花园等零星区域的</w:t>
      </w:r>
      <w:r>
        <w:rPr>
          <w:rFonts w:hint="default" w:ascii="宋体" w:hAnsi="宋体" w:eastAsia="宋体" w:cs="宋体"/>
          <w:color w:val="000000" w:themeColor="text1"/>
          <w:kern w:val="2"/>
          <w:sz w:val="24"/>
          <w:szCs w:val="24"/>
          <w:lang w:val="en-US" w:eastAsia="zh-CN"/>
          <w14:textFill>
            <w14:solidFill>
              <w14:schemeClr w14:val="tx1"/>
            </w14:solidFill>
          </w14:textFill>
        </w:rPr>
        <w:t>元旦、春节两次</w:t>
      </w:r>
      <w:r>
        <w:rPr>
          <w:rFonts w:hint="default" w:ascii="宋体" w:hAnsi="宋体" w:eastAsia="宋体" w:cs="宋体"/>
          <w:color w:val="000000" w:themeColor="text1"/>
          <w:kern w:val="2"/>
          <w:sz w:val="24"/>
          <w:szCs w:val="24"/>
          <w:lang w:val="en-US"/>
          <w14:textFill>
            <w14:solidFill>
              <w14:schemeClr w14:val="tx1"/>
            </w14:solidFill>
          </w14:textFill>
        </w:rPr>
        <w:t>节日氛围营造</w:t>
      </w:r>
      <w:r>
        <w:rPr>
          <w:rFonts w:hint="default" w:ascii="宋体" w:hAnsi="宋体" w:eastAsia="宋体" w:cs="宋体"/>
          <w:color w:val="000000" w:themeColor="text1"/>
          <w:kern w:val="2"/>
          <w:sz w:val="24"/>
          <w:szCs w:val="24"/>
          <w:lang w:val="en-US" w:eastAsia="zh-CN"/>
          <w14:textFill>
            <w14:solidFill>
              <w14:schemeClr w14:val="tx1"/>
            </w14:solidFill>
          </w14:textFill>
        </w:rPr>
        <w:t>设计及制作，分两批次</w:t>
      </w:r>
      <w:r>
        <w:rPr>
          <w:rFonts w:hint="eastAsia" w:ascii="宋体" w:hAnsi="宋体" w:eastAsia="宋体" w:cs="宋体"/>
          <w:color w:val="000000" w:themeColor="text1"/>
          <w:kern w:val="2"/>
          <w:sz w:val="24"/>
          <w:szCs w:val="24"/>
          <w:lang w:val="en-US" w:eastAsia="zh-CN"/>
          <w14:textFill>
            <w14:solidFill>
              <w14:schemeClr w14:val="tx1"/>
            </w14:solidFill>
          </w14:textFill>
        </w:rPr>
        <w:t>设计和</w:t>
      </w:r>
      <w:r>
        <w:rPr>
          <w:rFonts w:hint="default" w:ascii="宋体" w:hAnsi="宋体" w:eastAsia="宋体" w:cs="宋体"/>
          <w:color w:val="000000" w:themeColor="text1"/>
          <w:kern w:val="2"/>
          <w:sz w:val="24"/>
          <w:szCs w:val="24"/>
          <w:lang w:val="en-US" w:eastAsia="zh-CN"/>
          <w14:textFill>
            <w14:solidFill>
              <w14:schemeClr w14:val="tx1"/>
            </w14:solidFill>
          </w14:textFill>
        </w:rPr>
        <w:t>实施。氛围营造设计方案由供应商自行设计拟定，需围绕儿童友好元素、元旦或春节节日</w:t>
      </w:r>
      <w:r>
        <w:rPr>
          <w:rFonts w:hint="eastAsia" w:ascii="宋体" w:hAnsi="宋体" w:eastAsia="宋体" w:cs="宋体"/>
          <w:color w:val="000000" w:themeColor="text1"/>
          <w:kern w:val="2"/>
          <w:sz w:val="24"/>
          <w:szCs w:val="24"/>
          <w:lang w:val="en-US" w:eastAsia="zh-CN"/>
          <w14:textFill>
            <w14:solidFill>
              <w14:schemeClr w14:val="tx1"/>
            </w14:solidFill>
          </w14:textFill>
        </w:rPr>
        <w:t>氛围</w:t>
      </w:r>
      <w:r>
        <w:rPr>
          <w:rFonts w:hint="default" w:ascii="宋体" w:hAnsi="宋体" w:eastAsia="宋体" w:cs="宋体"/>
          <w:color w:val="000000" w:themeColor="text1"/>
          <w:kern w:val="2"/>
          <w:sz w:val="24"/>
          <w:szCs w:val="24"/>
          <w:lang w:val="en-US" w:eastAsia="zh-CN"/>
          <w14:textFill>
            <w14:solidFill>
              <w14:schemeClr w14:val="tx1"/>
            </w14:solidFill>
          </w14:textFill>
        </w:rPr>
        <w:t>、医院IP形象等，以达到节日气氛烘托、祝福等目的。</w:t>
      </w:r>
    </w:p>
    <w:p>
      <w:pPr>
        <w:numPr>
          <w:ilvl w:val="0"/>
          <w:numId w:val="3"/>
        </w:num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服务内容及要求</w:t>
      </w:r>
    </w:p>
    <w:p>
      <w:pPr>
        <w:numPr>
          <w:ilvl w:val="-1"/>
          <w:numId w:val="0"/>
        </w:numPr>
        <w:spacing w:line="500" w:lineRule="exact"/>
        <w:ind w:firstLine="0" w:firstLineChars="0"/>
        <w:jc w:val="left"/>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 xml:space="preserve">   1、主要服务内容</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1.1包含设计、技术、设计中清单明确的全部实施内容及运行期间的日常维护及安全，并确保实际安装布置效果；</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1.2包含所有装饰材料及必备辅材供货、运输、转运、安装、调试、维护、保障运行期安全正常运行；</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1.3运行期满后对设施的拆除回收，拆除回收后统一运送至采购人指定地点等与本项目相关的所有服务；</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1.4项目服务期内，供应商对所供材料的质量安全，安装使用（维护）、拆除人身安全，防盗安全负责，运行期内出现非人为损坏、缺失等情况均由成交供应商自行负责增补、更换及维修，采购人不再另行支付相关费用。</w:t>
      </w:r>
    </w:p>
    <w:p>
      <w:pPr>
        <w:autoSpaceDE/>
        <w:autoSpaceDN/>
        <w:adjustRightInd/>
        <w:snapToGrid/>
        <w:spacing w:line="500" w:lineRule="exact"/>
        <w:ind w:firstLine="240" w:firstLineChars="1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2、实施要求：</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2.1由采购方提供电源接口，并承担电费；成交供应商必须严格科学合理进行使用，不得私搭电线；使用不合格的电子产品等，确保安全用电，严禁一切违规操作，避免火灾，高空坠物等事故发生。</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2.2所有发光灯笼、挂件等用电材料需包含电源线等配套辅材；所有线材需满足设计和安装要求，符合采购方安全生产管理要求。</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2.3安全责任承诺：本项目施工过程、维护期、包含后期拆除工作，成交供应商须严格遵守安全文明施工、规范施工，期间任何安全事故及赔偿责任由成交供应商承担。</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2.4实施过程中采购人有权对设计内容进行更改，成交供应商不得有异议，采购人不再另行支付费用。</w:t>
      </w:r>
    </w:p>
    <w:p>
      <w:pPr>
        <w:spacing w:line="500" w:lineRule="exact"/>
        <w:ind w:firstLine="0" w:firstLineChars="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3、安装调试要求</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3.1成交供应商自行负责前期所有设备配套安装、设备运输、收发货、设备存放、安装、调试，在此期间，采购人不代为成交供应商接收设备、存放设备，验收之前半成品保护、材料的保管、设备的存放安全由供应商自行负责；</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3.2安装设备所用电源在采购人提供指定电箱处接设用电，安装时如需开槽、打洞等损坏原有设施的由成交供应商施工后自行负责恢复；</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3.3成交供应商施工安装过程期间各项安全责任及保障措施由成交供应商自行负责；</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3.4进场施工安装须遵守采购人及相关监督人员的管理，确保安全文明施工、规范施工；</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3.5本项目安装、维修、拆除期间，成交供应商应配合采购人利用标志等安全设施管理好行人安全并严格按照操作规则进行作业，设置警示标志以保证路人和操作人员的安全，防止事故发生，确保自身与他人的生命及财产安全。</w:t>
      </w:r>
    </w:p>
    <w:p>
      <w:pPr>
        <w:spacing w:line="500" w:lineRule="exact"/>
        <w:ind w:firstLine="0" w:firstLineChars="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4、拆除要求</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4.1项目实施完成拆除后，按采购人要求恢复现场施工前原貌，拆除物品按采购人要求处置。</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bookmarkStart w:id="2" w:name="_Toc60316418"/>
      <w:r>
        <w:rPr>
          <w:rFonts w:hint="eastAsia" w:ascii="宋体" w:hAnsi="宋体" w:eastAsia="宋体" w:cs="宋体"/>
          <w:color w:val="000000" w:themeColor="text1"/>
          <w:kern w:val="2"/>
          <w:sz w:val="24"/>
          <w:szCs w:val="24"/>
          <w:lang w:val="en-US" w:eastAsia="zh-CN"/>
          <w14:textFill>
            <w14:solidFill>
              <w14:schemeClr w14:val="tx1"/>
            </w14:solidFill>
          </w14:textFill>
        </w:rPr>
        <w:t>4.2拆除过程安全责任由供应商负责。</w:t>
      </w:r>
    </w:p>
    <w:p>
      <w:pPr>
        <w:spacing w:line="500" w:lineRule="exact"/>
        <w:ind w:firstLine="0" w:firstLineChars="0"/>
        <w:jc w:val="left"/>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5、装饰品</w:t>
      </w:r>
      <w:bookmarkEnd w:id="2"/>
      <w:r>
        <w:rPr>
          <w:rFonts w:hint="eastAsia" w:ascii="宋体" w:hAnsi="宋体" w:eastAsia="宋体" w:cs="宋体"/>
          <w:color w:val="000000" w:themeColor="text1"/>
          <w:kern w:val="2"/>
          <w:sz w:val="24"/>
          <w:szCs w:val="24"/>
          <w:lang w:val="en-US" w:eastAsia="zh-CN"/>
          <w14:textFill>
            <w14:solidFill>
              <w14:schemeClr w14:val="tx1"/>
            </w14:solidFill>
          </w14:textFill>
        </w:rPr>
        <w:t>质量要求</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5.1符合采购方提出的设计效果要求；</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5.2所有采购商品必须符合国家质量标准，质量合格。</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5.3本项目中标（成交）供应商须对效果图进行优化，不低于效果图的设计效果。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left"/>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p>
    <w:p>
      <w:pPr>
        <w:jc w:val="left"/>
        <w:rPr>
          <w:rFonts w:hint="eastAsia" w:ascii="华文中宋" w:hAnsi="华文中宋" w:eastAsia="华文中宋"/>
          <w:b/>
          <w:color w:val="000000" w:themeColor="text1"/>
          <w:sz w:val="32"/>
          <w:lang w:val="en-US" w:eastAsia="zh-CN"/>
          <w14:textFill>
            <w14:solidFill>
              <w14:schemeClr w14:val="tx1"/>
            </w14:solidFill>
          </w14:textFill>
        </w:rPr>
      </w:pPr>
    </w:p>
    <w:p>
      <w:pPr>
        <w:jc w:val="left"/>
        <w:rPr>
          <w:rFonts w:hint="eastAsia" w:ascii="华文中宋" w:hAnsi="华文中宋" w:eastAsia="华文中宋"/>
          <w:b/>
          <w:color w:val="000000" w:themeColor="text1"/>
          <w:sz w:val="32"/>
          <w:lang w:val="en-US" w:eastAsia="zh-CN"/>
          <w14:textFill>
            <w14:solidFill>
              <w14:schemeClr w14:val="tx1"/>
            </w14:solidFill>
          </w14:textFill>
        </w:rPr>
      </w:pPr>
    </w:p>
    <w:p>
      <w:pPr>
        <w:jc w:val="left"/>
        <w:rPr>
          <w:rFonts w:hint="eastAsia" w:ascii="华文中宋" w:hAnsi="华文中宋" w:eastAsia="华文中宋"/>
          <w:b/>
          <w:color w:val="000000" w:themeColor="text1"/>
          <w:sz w:val="32"/>
          <w:lang w:val="en-US" w:eastAsia="zh-CN"/>
          <w14:textFill>
            <w14:solidFill>
              <w14:schemeClr w14:val="tx1"/>
            </w14:solidFill>
          </w14:textFill>
        </w:rPr>
      </w:pPr>
    </w:p>
    <w:p>
      <w:pPr>
        <w:jc w:val="left"/>
        <w:rPr>
          <w:rFonts w:hint="eastAsia" w:ascii="华文中宋" w:hAnsi="华文中宋" w:eastAsia="华文中宋"/>
          <w:b/>
          <w:color w:val="000000" w:themeColor="text1"/>
          <w:sz w:val="32"/>
          <w:lang w:val="en-US" w:eastAsia="zh-CN"/>
          <w14:textFill>
            <w14:solidFill>
              <w14:schemeClr w14:val="tx1"/>
            </w14:solidFill>
          </w14:textFill>
        </w:rPr>
      </w:pPr>
    </w:p>
    <w:p>
      <w:pPr>
        <w:pStyle w:val="5"/>
        <w:jc w:val="center"/>
        <w:rPr>
          <w:rFonts w:ascii="宋体" w:hAnsi="宋体" w:eastAsia="宋体" w:cs="宋体"/>
          <w:color w:val="000000" w:themeColor="text1"/>
          <w:sz w:val="24"/>
          <w:szCs w:val="24"/>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txbxContent>
              </v:textbox>
            </v:shape>
          </w:pict>
        </mc:Fallback>
      </mc:AlternateConten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347B1"/>
    <w:multiLevelType w:val="singleLevel"/>
    <w:tmpl w:val="AD3347B1"/>
    <w:lvl w:ilvl="0" w:tentative="0">
      <w:start w:val="1"/>
      <w:numFmt w:val="chineseCounting"/>
      <w:suff w:val="nothing"/>
      <w:lvlText w:val="%1、"/>
      <w:lvlJc w:val="left"/>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644"/>
        </w:tabs>
      </w:pPr>
      <w:rPr>
        <w:rFonts w:cs="Times New Roman"/>
      </w:rPr>
    </w:lvl>
    <w:lvl w:ilvl="3" w:tentative="0">
      <w:start w:val="0"/>
      <w:numFmt w:val="none"/>
      <w:lvlText w:val=""/>
      <w:lvlJc w:val="left"/>
      <w:pPr>
        <w:tabs>
          <w:tab w:val="left" w:pos="644"/>
        </w:tabs>
      </w:pPr>
      <w:rPr>
        <w:rFonts w:cs="Times New Roman"/>
      </w:rPr>
    </w:lvl>
    <w:lvl w:ilvl="4" w:tentative="0">
      <w:start w:val="0"/>
      <w:numFmt w:val="decimal"/>
      <w:pStyle w:val="3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3FC311BB"/>
    <w:multiLevelType w:val="singleLevel"/>
    <w:tmpl w:val="3FC311BB"/>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955DF"/>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43669F"/>
    <w:rsid w:val="04557B19"/>
    <w:rsid w:val="049912AC"/>
    <w:rsid w:val="04C61298"/>
    <w:rsid w:val="05A83606"/>
    <w:rsid w:val="05F62118"/>
    <w:rsid w:val="06380241"/>
    <w:rsid w:val="069F560A"/>
    <w:rsid w:val="07973EE6"/>
    <w:rsid w:val="07C94BE1"/>
    <w:rsid w:val="07DE6769"/>
    <w:rsid w:val="07E00A0F"/>
    <w:rsid w:val="087F78BA"/>
    <w:rsid w:val="095A6A56"/>
    <w:rsid w:val="09CA2C87"/>
    <w:rsid w:val="09E54036"/>
    <w:rsid w:val="0A325ADB"/>
    <w:rsid w:val="0B216CF4"/>
    <w:rsid w:val="0B353F6E"/>
    <w:rsid w:val="0C580A4E"/>
    <w:rsid w:val="0E237614"/>
    <w:rsid w:val="0EF652A0"/>
    <w:rsid w:val="0F26150C"/>
    <w:rsid w:val="0F3436E0"/>
    <w:rsid w:val="0F6D5B99"/>
    <w:rsid w:val="0FAA6A76"/>
    <w:rsid w:val="0FEE4D13"/>
    <w:rsid w:val="1061346A"/>
    <w:rsid w:val="12100E62"/>
    <w:rsid w:val="12542DDE"/>
    <w:rsid w:val="137B38DC"/>
    <w:rsid w:val="146B53DF"/>
    <w:rsid w:val="151A349C"/>
    <w:rsid w:val="16AC0EAA"/>
    <w:rsid w:val="16D20FE6"/>
    <w:rsid w:val="17044079"/>
    <w:rsid w:val="17072E1B"/>
    <w:rsid w:val="17373CEB"/>
    <w:rsid w:val="17500414"/>
    <w:rsid w:val="177D1B56"/>
    <w:rsid w:val="180D083B"/>
    <w:rsid w:val="182F4CA9"/>
    <w:rsid w:val="188C4A43"/>
    <w:rsid w:val="195C3707"/>
    <w:rsid w:val="1B040AF0"/>
    <w:rsid w:val="1B7F6894"/>
    <w:rsid w:val="1B811C08"/>
    <w:rsid w:val="1C004A55"/>
    <w:rsid w:val="1DD80BF7"/>
    <w:rsid w:val="1E8B6382"/>
    <w:rsid w:val="1E9268BE"/>
    <w:rsid w:val="1EFB394F"/>
    <w:rsid w:val="2086495D"/>
    <w:rsid w:val="20F56432"/>
    <w:rsid w:val="21012DCF"/>
    <w:rsid w:val="218E2A3A"/>
    <w:rsid w:val="22246CB4"/>
    <w:rsid w:val="23C96556"/>
    <w:rsid w:val="23D504F4"/>
    <w:rsid w:val="23E24D51"/>
    <w:rsid w:val="246F59E3"/>
    <w:rsid w:val="24DA7466"/>
    <w:rsid w:val="256746D6"/>
    <w:rsid w:val="26B72586"/>
    <w:rsid w:val="27807BE0"/>
    <w:rsid w:val="29DA40B8"/>
    <w:rsid w:val="29FD5AAD"/>
    <w:rsid w:val="2B4F2CEF"/>
    <w:rsid w:val="2BBC1282"/>
    <w:rsid w:val="2C723060"/>
    <w:rsid w:val="2CF35149"/>
    <w:rsid w:val="2DC8218D"/>
    <w:rsid w:val="2E102ABB"/>
    <w:rsid w:val="2F5659F3"/>
    <w:rsid w:val="30191AD6"/>
    <w:rsid w:val="30FB7E9E"/>
    <w:rsid w:val="323325C4"/>
    <w:rsid w:val="328B017F"/>
    <w:rsid w:val="3292324B"/>
    <w:rsid w:val="329342B5"/>
    <w:rsid w:val="32C1268D"/>
    <w:rsid w:val="35006E33"/>
    <w:rsid w:val="360B655D"/>
    <w:rsid w:val="3794592A"/>
    <w:rsid w:val="38B05953"/>
    <w:rsid w:val="38B745E0"/>
    <w:rsid w:val="393671C3"/>
    <w:rsid w:val="39D45C36"/>
    <w:rsid w:val="3A1640E8"/>
    <w:rsid w:val="3A8B6411"/>
    <w:rsid w:val="3B9D6276"/>
    <w:rsid w:val="3BFA37AC"/>
    <w:rsid w:val="3C937993"/>
    <w:rsid w:val="3D4663AF"/>
    <w:rsid w:val="3E8576EC"/>
    <w:rsid w:val="3F703160"/>
    <w:rsid w:val="3FC91C02"/>
    <w:rsid w:val="407C7408"/>
    <w:rsid w:val="411E528A"/>
    <w:rsid w:val="41936CCC"/>
    <w:rsid w:val="419E4D6E"/>
    <w:rsid w:val="41BD651D"/>
    <w:rsid w:val="423934A4"/>
    <w:rsid w:val="42621BDA"/>
    <w:rsid w:val="42C159A0"/>
    <w:rsid w:val="42E70D20"/>
    <w:rsid w:val="435B4FED"/>
    <w:rsid w:val="435C1AAA"/>
    <w:rsid w:val="43923A02"/>
    <w:rsid w:val="43B17106"/>
    <w:rsid w:val="44FF23DB"/>
    <w:rsid w:val="45DB5113"/>
    <w:rsid w:val="45FA22EB"/>
    <w:rsid w:val="460B369C"/>
    <w:rsid w:val="46986527"/>
    <w:rsid w:val="471F4DD5"/>
    <w:rsid w:val="48E65B64"/>
    <w:rsid w:val="490907D4"/>
    <w:rsid w:val="4931425C"/>
    <w:rsid w:val="49974FAF"/>
    <w:rsid w:val="4A7E1328"/>
    <w:rsid w:val="4B623F21"/>
    <w:rsid w:val="4D744DB2"/>
    <w:rsid w:val="4D7A092A"/>
    <w:rsid w:val="4DFB7E79"/>
    <w:rsid w:val="4EBA0170"/>
    <w:rsid w:val="4FBD2120"/>
    <w:rsid w:val="4FD65049"/>
    <w:rsid w:val="50CB7074"/>
    <w:rsid w:val="511A355D"/>
    <w:rsid w:val="513762CB"/>
    <w:rsid w:val="51950AC2"/>
    <w:rsid w:val="51DB5939"/>
    <w:rsid w:val="53AB2F4B"/>
    <w:rsid w:val="53E94A32"/>
    <w:rsid w:val="55B5596C"/>
    <w:rsid w:val="56D145E5"/>
    <w:rsid w:val="57003156"/>
    <w:rsid w:val="58885FE0"/>
    <w:rsid w:val="59A61C5F"/>
    <w:rsid w:val="59D75EB0"/>
    <w:rsid w:val="5A2F5580"/>
    <w:rsid w:val="5A493582"/>
    <w:rsid w:val="5A7E7600"/>
    <w:rsid w:val="5AAD0A57"/>
    <w:rsid w:val="5BB61575"/>
    <w:rsid w:val="5D1024FF"/>
    <w:rsid w:val="5DBD70E7"/>
    <w:rsid w:val="5EA6596C"/>
    <w:rsid w:val="5ED65EE2"/>
    <w:rsid w:val="5F141197"/>
    <w:rsid w:val="6066691B"/>
    <w:rsid w:val="61F31C9B"/>
    <w:rsid w:val="62146F60"/>
    <w:rsid w:val="637B3DE7"/>
    <w:rsid w:val="63934138"/>
    <w:rsid w:val="63DB63D1"/>
    <w:rsid w:val="65E158A6"/>
    <w:rsid w:val="68E06C2C"/>
    <w:rsid w:val="68FD23E4"/>
    <w:rsid w:val="69B42AF7"/>
    <w:rsid w:val="69E41B3B"/>
    <w:rsid w:val="6B4E5B09"/>
    <w:rsid w:val="6BBB0CC6"/>
    <w:rsid w:val="6C4838F4"/>
    <w:rsid w:val="6E582E85"/>
    <w:rsid w:val="6EB1235D"/>
    <w:rsid w:val="6F520277"/>
    <w:rsid w:val="6F9B6713"/>
    <w:rsid w:val="6FCB75A0"/>
    <w:rsid w:val="70BF5C7A"/>
    <w:rsid w:val="70DF1AC2"/>
    <w:rsid w:val="729A42C4"/>
    <w:rsid w:val="731E7004"/>
    <w:rsid w:val="73535858"/>
    <w:rsid w:val="73B97203"/>
    <w:rsid w:val="73BD7DF0"/>
    <w:rsid w:val="743215EF"/>
    <w:rsid w:val="75CD0D5C"/>
    <w:rsid w:val="764E0276"/>
    <w:rsid w:val="7807665E"/>
    <w:rsid w:val="7984558D"/>
    <w:rsid w:val="7A016EB6"/>
    <w:rsid w:val="7B7754C9"/>
    <w:rsid w:val="7C26177D"/>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6"/>
    <w:qFormat/>
    <w:uiPriority w:val="0"/>
    <w:pPr>
      <w:spacing w:after="120"/>
    </w:pPr>
  </w:style>
  <w:style w:type="paragraph" w:styleId="6">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7">
    <w:name w:val="Plain Text"/>
    <w:basedOn w:val="1"/>
    <w:next w:val="1"/>
    <w:qFormat/>
    <w:uiPriority w:val="0"/>
    <w:pPr>
      <w:autoSpaceDE w:val="0"/>
      <w:autoSpaceDN w:val="0"/>
      <w:adjustRightInd w:val="0"/>
    </w:pPr>
    <w:rPr>
      <w:rFonts w:ascii="宋体" w:hAnsi="Tms Rmn"/>
      <w:kern w:val="0"/>
      <w:szCs w:val="20"/>
    </w:rPr>
  </w:style>
  <w:style w:type="paragraph" w:styleId="8">
    <w:name w:val="Date"/>
    <w:basedOn w:val="1"/>
    <w:next w:val="1"/>
    <w:semiHidden/>
    <w:unhideWhenUsed/>
    <w:qFormat/>
    <w:uiPriority w:val="99"/>
    <w:pPr>
      <w:ind w:left="100" w:leftChars="2500"/>
    </w:pPr>
  </w:style>
  <w:style w:type="paragraph" w:styleId="9">
    <w:name w:val="Balloon Text"/>
    <w:basedOn w:val="1"/>
    <w:link w:val="28"/>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table of figures"/>
    <w:basedOn w:val="1"/>
    <w:next w:val="1"/>
    <w:unhideWhenUsed/>
    <w:qFormat/>
    <w:uiPriority w:val="99"/>
    <w:pPr>
      <w:ind w:left="200" w:leftChars="200" w:hanging="200" w:hangingChars="200"/>
    </w:p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Body Text First Indent"/>
    <w:basedOn w:val="5"/>
    <w:qFormat/>
    <w:uiPriority w:val="99"/>
    <w:pPr>
      <w:ind w:firstLine="420" w:firstLineChars="1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character" w:customStyle="1" w:styleId="22">
    <w:name w:val="页眉 字符"/>
    <w:basedOn w:val="18"/>
    <w:link w:val="11"/>
    <w:qFormat/>
    <w:uiPriority w:val="99"/>
    <w:rPr>
      <w:sz w:val="18"/>
      <w:szCs w:val="18"/>
    </w:rPr>
  </w:style>
  <w:style w:type="character" w:customStyle="1" w:styleId="23">
    <w:name w:val="页脚 字符"/>
    <w:basedOn w:val="18"/>
    <w:link w:val="10"/>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字符"/>
    <w:basedOn w:val="18"/>
    <w:link w:val="3"/>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批注框文本 字符"/>
    <w:basedOn w:val="18"/>
    <w:link w:val="9"/>
    <w:semiHidden/>
    <w:qFormat/>
    <w:uiPriority w:val="99"/>
    <w:rPr>
      <w:sz w:val="18"/>
      <w:szCs w:val="18"/>
    </w:rPr>
  </w:style>
  <w:style w:type="character" w:customStyle="1" w:styleId="29">
    <w:name w:val="font11"/>
    <w:basedOn w:val="18"/>
    <w:qFormat/>
    <w:uiPriority w:val="0"/>
    <w:rPr>
      <w:rFonts w:hint="eastAsia" w:ascii="宋体" w:hAnsi="宋体" w:eastAsia="宋体" w:cs="宋体"/>
      <w:color w:val="000000"/>
      <w:sz w:val="21"/>
      <w:szCs w:val="21"/>
      <w:u w:val="none"/>
    </w:rPr>
  </w:style>
  <w:style w:type="character" w:customStyle="1" w:styleId="30">
    <w:name w:val="font01"/>
    <w:basedOn w:val="18"/>
    <w:qFormat/>
    <w:uiPriority w:val="0"/>
    <w:rPr>
      <w:rFonts w:ascii="Calibri" w:hAnsi="Calibri" w:cs="Calibri"/>
      <w:color w:val="000000"/>
      <w:sz w:val="21"/>
      <w:szCs w:val="21"/>
      <w:u w:val="none"/>
    </w:rPr>
  </w:style>
  <w:style w:type="paragraph" w:customStyle="1" w:styleId="31">
    <w:name w:val="标题 5（有编号）（绿盟科技）"/>
    <w:basedOn w:val="1"/>
    <w:next w:val="32"/>
    <w:qFormat/>
    <w:uiPriority w:val="0"/>
    <w:pPr>
      <w:keepNext/>
      <w:keepLines/>
      <w:numPr>
        <w:ilvl w:val="4"/>
        <w:numId w:val="1"/>
      </w:numPr>
      <w:tabs>
        <w:tab w:val="left" w:pos="0"/>
      </w:tabs>
      <w:spacing w:before="280" w:after="156" w:line="377" w:lineRule="auto"/>
      <w:jc w:val="left"/>
      <w:outlineLvl w:val="4"/>
    </w:pPr>
    <w:rPr>
      <w:rFonts w:ascii="Arial" w:hAnsi="Arial" w:eastAsia="黑体"/>
      <w:b/>
      <w:sz w:val="24"/>
      <w:szCs w:val="28"/>
    </w:rPr>
  </w:style>
  <w:style w:type="paragraph" w:customStyle="1" w:styleId="32">
    <w:name w:val="正文（绿盟科技）"/>
    <w:qFormat/>
    <w:uiPriority w:val="0"/>
    <w:pPr>
      <w:spacing w:line="300" w:lineRule="auto"/>
    </w:pPr>
    <w:rPr>
      <w:rFonts w:ascii="Arial" w:hAnsi="Arial" w:eastAsia="宋体" w:cs="黑体"/>
      <w:kern w:val="0"/>
      <w:sz w:val="21"/>
      <w:szCs w:val="21"/>
      <w:lang w:val="en-US" w:eastAsia="zh-CN" w:bidi="ar-SA"/>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1676</Words>
  <Characters>1771</Characters>
  <Lines>26</Lines>
  <Paragraphs>7</Paragraphs>
  <TotalTime>7</TotalTime>
  <ScaleCrop>false</ScaleCrop>
  <LinksUpToDate>false</LinksUpToDate>
  <CharactersWithSpaces>1779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2023-11-20T01:46:00Z</cp:lastPrinted>
  <dcterms:modified xsi:type="dcterms:W3CDTF">2023-11-23T04:10:12Z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B37B774ADC094AD28AC7D38B3A8865E4_13</vt:lpwstr>
  </property>
  <property fmtid="{D5CDD505-2E9C-101B-9397-08002B2CF9AE}" pid="4" name="commondata">
    <vt:lpwstr>eyJoZGlkIjoiNGFhNjBkNjkwYzVkMGJlYjhkODdmZTMyNDY5NTA5YWUifQ==</vt:lpwstr>
  </property>
</Properties>
</file>