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highlight w:val="none"/>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highlight w:val="none"/>
          <w14:textFill>
            <w14:solidFill>
              <w14:schemeClr w14:val="tx1"/>
            </w14:solidFill>
          </w14:textFill>
        </w:rPr>
        <w:t>附件1：</w:t>
      </w:r>
      <w:r>
        <w:rPr>
          <w:rFonts w:hint="eastAsia" w:ascii="Arial" w:hAnsi="Arial" w:eastAsia="黑体" w:cs="Times New Roman"/>
          <w:b/>
          <w:bCs/>
          <w:color w:val="000000" w:themeColor="text1"/>
          <w:sz w:val="32"/>
          <w:szCs w:val="32"/>
          <w:highlight w:val="none"/>
          <w:lang w:val="en-US" w:eastAsia="zh-CN"/>
          <w14:textFill>
            <w14:solidFill>
              <w14:schemeClr w14:val="tx1"/>
            </w14:solidFill>
          </w14:textFill>
        </w:rPr>
        <w:t>项目</w:t>
      </w:r>
      <w:r>
        <w:rPr>
          <w:rFonts w:hint="eastAsia" w:ascii="Arial" w:hAnsi="Arial" w:eastAsia="黑体" w:cs="Times New Roman"/>
          <w:b/>
          <w:bCs/>
          <w:color w:val="000000" w:themeColor="text1"/>
          <w:sz w:val="32"/>
          <w:szCs w:val="32"/>
          <w:highlight w:val="none"/>
          <w14:textFill>
            <w14:solidFill>
              <w14:schemeClr w14:val="tx1"/>
            </w14:solidFill>
          </w14:textFill>
        </w:rPr>
        <w:t>需求</w:t>
      </w:r>
    </w:p>
    <w:p>
      <w:pPr>
        <w:spacing w:line="500" w:lineRule="exact"/>
        <w:rPr>
          <w:rFonts w:hint="eastAsia"/>
          <w:color w:val="000000" w:themeColor="text1"/>
          <w:highlight w:val="none"/>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一、项目概述：</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简介：随着“互联网+”技术的发展和应用，医疗服务信息化、智能化是满足妇女儿童日益个性化、多元化健康服务需求的必要手段，也是医院实现可持续化发展和提高市场竞争力的重要保障。成都市龙泉驿区积极响应国家政策，构建上级以四川大学华西二院、成都市妇女儿童中心医院为龙头，龙泉驿区妇幼保健院为枢纽，辖区基层医疗卫生机构为网底的妇幼三级诊疗体系。龙泉驿区妇幼保健院作为辖区妇幼公共卫生服务单位，同时作为区域妇幼健康医疗中心，将整合辖区妇幼专科信息资源，搭建专科医联体信息平台，实现上下联动，辖区妇幼信息互通共享。</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default" w:ascii="宋体" w:hAnsi="宋体" w:eastAsia="宋体" w:cs="宋体"/>
          <w:bCs w:val="0"/>
          <w:color w:val="000000" w:themeColor="text1"/>
          <w:sz w:val="24"/>
          <w:szCs w:val="24"/>
          <w:highlight w:val="none"/>
          <w:lang w:val="en-US"/>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1</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.服务期限</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及地点</w:t>
      </w:r>
    </w:p>
    <w:p>
      <w:pPr>
        <w:autoSpaceDE/>
        <w:autoSpaceDN/>
        <w:adjustRightInd/>
        <w:snapToGrid/>
        <w:spacing w:before="0" w:after="0" w:line="500" w:lineRule="exact"/>
        <w:ind w:firstLine="480" w:firstLineChars="200"/>
        <w:rPr>
          <w:rFonts w:hint="default" w:ascii="宋体" w:hAnsi="宋体" w:eastAsia="宋体" w:cs="宋体"/>
          <w:bCs w:val="0"/>
          <w:color w:val="000000" w:themeColor="text1"/>
          <w:sz w:val="24"/>
          <w:szCs w:val="24"/>
          <w:highlight w:val="none"/>
          <w:lang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 xml:space="preserve">1.1 </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服务</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时间：</w:t>
      </w:r>
      <w:r>
        <w:rPr>
          <w:rFonts w:hint="default" w:ascii="宋体" w:hAnsi="宋体" w:eastAsia="宋体" w:cs="宋体"/>
          <w:b w:val="0"/>
          <w:bCs w:val="0"/>
          <w:color w:val="000000" w:themeColor="text1"/>
          <w:sz w:val="24"/>
          <w:szCs w:val="24"/>
          <w:highlight w:val="none"/>
          <w14:textFill>
            <w14:solidFill>
              <w14:schemeClr w14:val="tx1"/>
            </w14:solidFill>
          </w14:textFill>
        </w:rPr>
        <w:t>自合同签订之日起1</w:t>
      </w:r>
      <w:r>
        <w:rPr>
          <w:rFonts w:ascii="宋体" w:hAnsi="宋体" w:eastAsia="宋体" w:cs="宋体"/>
          <w:b w:val="0"/>
          <w:bCs w:val="0"/>
          <w:color w:val="000000" w:themeColor="text1"/>
          <w:sz w:val="24"/>
          <w:szCs w:val="24"/>
          <w:highlight w:val="none"/>
          <w14:textFill>
            <w14:solidFill>
              <w14:schemeClr w14:val="tx1"/>
            </w14:solidFill>
          </w14:textFill>
        </w:rPr>
        <w:t>0</w:t>
      </w:r>
      <w:r>
        <w:rPr>
          <w:rFonts w:hint="default" w:ascii="宋体" w:hAnsi="宋体" w:eastAsia="宋体" w:cs="宋体"/>
          <w:b w:val="0"/>
          <w:bCs w:val="0"/>
          <w:color w:val="000000" w:themeColor="text1"/>
          <w:sz w:val="24"/>
          <w:szCs w:val="24"/>
          <w:highlight w:val="none"/>
          <w14:textFill>
            <w14:solidFill>
              <w14:schemeClr w14:val="tx1"/>
            </w14:solidFill>
          </w14:textFill>
        </w:rPr>
        <w:t>天内完成</w:t>
      </w:r>
      <w:r>
        <w:rPr>
          <w:rFonts w:hint="eastAsia" w:ascii="宋体" w:hAnsi="宋体" w:eastAsia="宋体" w:cs="宋体"/>
          <w:bCs w:val="0"/>
          <w:color w:val="000000" w:themeColor="text1"/>
          <w:sz w:val="24"/>
          <w:szCs w:val="24"/>
          <w:highlight w:val="none"/>
          <w:lang w:val="en-US" w:eastAsia="zh-CN" w:bidi="ar-SA"/>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default" w:ascii="宋体" w:hAnsi="宋体" w:eastAsia="宋体" w:cs="宋体"/>
          <w:bCs w:val="0"/>
          <w:color w:val="000000" w:themeColor="text1"/>
          <w:sz w:val="24"/>
          <w:szCs w:val="24"/>
          <w:highlight w:val="none"/>
          <w:lang w:val="en-US"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 xml:space="preserve">1.2 </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服务</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地点: 成都市龙泉驿区妇幼保健院</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，成都市龙泉驿区西河镇公立卫生院，成都市龙泉驿区十陵社区卫生服务中心。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left"/>
        <w:textAlignment w:val="auto"/>
        <w:rPr>
          <w:rFonts w:hint="default" w:ascii="宋体" w:hAnsi="宋体" w:eastAsia="宋体" w:cs="宋体"/>
          <w:bCs w:val="0"/>
          <w:color w:val="000000" w:themeColor="text1"/>
          <w:sz w:val="24"/>
          <w:szCs w:val="24"/>
          <w:highlight w:val="none"/>
          <w:lang w:val="en-US"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2</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付款方法：</w:t>
      </w:r>
    </w:p>
    <w:p>
      <w:pPr>
        <w:spacing w:line="500" w:lineRule="exact"/>
        <w:ind w:left="-2" w:leftChars="-1"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2.</w:t>
      </w:r>
      <w:r>
        <w:rPr>
          <w:rFonts w:hint="default"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b w:val="0"/>
          <w:bCs w:val="0"/>
          <w:sz w:val="24"/>
          <w:szCs w:val="24"/>
          <w:highlight w:val="none"/>
          <w:lang w:val="en-US" w:eastAsia="zh-CN"/>
        </w:rPr>
        <w:t>合同签订后，支付预付款为合同款项的30%</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 </w:t>
      </w:r>
      <w:r>
        <w:rPr>
          <w:rFonts w:hint="eastAsia"/>
          <w:b w:val="0"/>
          <w:bCs w:val="0"/>
          <w:sz w:val="24"/>
          <w:szCs w:val="24"/>
          <w:highlight w:val="none"/>
          <w:lang w:val="en-US" w:eastAsia="zh-CN"/>
        </w:rPr>
        <w:t>提供项目实施方案，经相关科室确认后，进支付合同款项的20%</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480" w:firstLineChars="200"/>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w:t>
      </w:r>
      <w:r>
        <w:rPr>
          <w:rFonts w:hint="eastAsia"/>
          <w:b w:val="0"/>
          <w:bCs w:val="0"/>
          <w:sz w:val="24"/>
          <w:szCs w:val="24"/>
          <w:highlight w:val="none"/>
          <w:lang w:val="en-US" w:eastAsia="zh-CN"/>
        </w:rPr>
        <w:t>安装调试培训完成后，提交安装调试报告，经相关科室确认后，支付合同款项的40%；</w:t>
      </w:r>
    </w:p>
    <w:p>
      <w:pPr>
        <w:spacing w:line="500" w:lineRule="exact"/>
        <w:ind w:left="0"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w:t>
      </w:r>
      <w:r>
        <w:rPr>
          <w:rFonts w:hint="eastAsia"/>
          <w:b w:val="0"/>
          <w:bCs w:val="0"/>
          <w:sz w:val="24"/>
          <w:szCs w:val="24"/>
          <w:highlight w:val="none"/>
          <w:lang w:val="en-US" w:eastAsia="zh-CN"/>
        </w:rPr>
        <w:t>软件系统经运行1年后，供应商提交验收申请，经相关科室验收合格后，支付合同剩余款项；</w:t>
      </w:r>
    </w:p>
    <w:p>
      <w:pPr>
        <w:spacing w:line="500" w:lineRule="exact"/>
        <w:ind w:left="0" w:leftChars="0" w:firstLine="480" w:firstLineChars="200"/>
        <w:rPr>
          <w:rFonts w:hint="default"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w:t>
      </w:r>
      <w:r>
        <w:rPr>
          <w:rFonts w:hint="default" w:ascii="宋体" w:hAnsi="宋体" w:eastAsia="宋体" w:cs="宋体"/>
          <w:color w:val="000000" w:themeColor="text1"/>
          <w:sz w:val="24"/>
          <w:szCs w:val="24"/>
          <w:highlight w:val="none"/>
          <w14:textFill>
            <w14:solidFill>
              <w14:schemeClr w14:val="tx1"/>
            </w14:solidFill>
          </w14:textFill>
        </w:rPr>
        <w:t>乙方须向甲方出具合法有效全额的完税发票及凭证资料进行支付结算</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240" w:firstLineChars="100"/>
        <w:rPr>
          <w:rFonts w:hint="default" w:ascii="宋体" w:hAnsi="宋体" w:eastAsia="宋体" w:cs="宋体"/>
          <w:color w:val="000000" w:themeColor="text1"/>
          <w:kern w:val="2"/>
          <w:sz w:val="24"/>
          <w:szCs w:val="24"/>
          <w:highlight w:val="none"/>
          <w:lang w:val="en-US" w:eastAsia="zh-CN"/>
          <w14:textFill>
            <w14:solidFill>
              <w14:schemeClr w14:val="tx1"/>
            </w14:solidFill>
          </w14:textFill>
        </w:rPr>
      </w:pPr>
      <w:r>
        <w:rPr>
          <w:rFonts w:hint="default" w:ascii="宋体" w:hAnsi="宋体" w:eastAsia="宋体" w:cs="宋体"/>
          <w:color w:val="000000" w:themeColor="text1"/>
          <w:kern w:val="2"/>
          <w:sz w:val="24"/>
          <w:szCs w:val="24"/>
          <w:highlight w:val="none"/>
          <w:lang w:val="en-US" w:eastAsia="zh-CN"/>
          <w14:textFill>
            <w14:solidFill>
              <w14:schemeClr w14:val="tx1"/>
            </w14:solidFill>
          </w14:textFill>
        </w:rPr>
        <w:t>3.售后服务：</w:t>
      </w:r>
    </w:p>
    <w:p>
      <w:pPr>
        <w:spacing w:line="500" w:lineRule="exact"/>
        <w:ind w:firstLine="480" w:firstLineChars="200"/>
        <w:rPr>
          <w:rFonts w:hint="default" w:ascii="宋体" w:hAnsi="宋体" w:eastAsia="宋体" w:cs="宋体"/>
          <w:b w:val="0"/>
          <w:bCs w:val="0"/>
          <w:color w:val="000000" w:themeColor="text1"/>
          <w:sz w:val="24"/>
          <w:szCs w:val="24"/>
          <w:highlight w:val="none"/>
          <w14:textFill>
            <w14:solidFill>
              <w14:schemeClr w14:val="tx1"/>
            </w14:solidFill>
          </w14:textFill>
        </w:rPr>
      </w:pP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 xml:space="preserve">3.1 </w:t>
      </w:r>
      <w:r>
        <w:rPr>
          <w:rFonts w:hint="default" w:ascii="宋体" w:hAnsi="宋体" w:eastAsia="宋体" w:cs="宋体"/>
          <w:b w:val="0"/>
          <w:bCs w:val="0"/>
          <w:color w:val="000000" w:themeColor="text1"/>
          <w:sz w:val="24"/>
          <w:szCs w:val="24"/>
          <w:highlight w:val="none"/>
          <w14:textFill>
            <w14:solidFill>
              <w14:schemeClr w14:val="tx1"/>
            </w14:solidFill>
          </w14:textFill>
        </w:rPr>
        <w:t>系统免费售后质保服务期限不低于</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2</w:t>
      </w:r>
      <w:r>
        <w:rPr>
          <w:rFonts w:hint="default" w:ascii="宋体" w:hAnsi="宋体" w:eastAsia="宋体" w:cs="宋体"/>
          <w:b w:val="0"/>
          <w:bCs w:val="0"/>
          <w:color w:val="000000" w:themeColor="text1"/>
          <w:sz w:val="24"/>
          <w:szCs w:val="24"/>
          <w:highlight w:val="none"/>
          <w14:textFill>
            <w14:solidFill>
              <w14:schemeClr w14:val="tx1"/>
            </w14:solidFill>
          </w14:textFill>
        </w:rPr>
        <w:t>年（自验收合格之日起算），售后质保服务内容包括操作培训、故障解决、软件版本升级及每月不少于一次的定期现场巡检，巡检内容包括服务器端数据库、操作系统及应用软件运行情况，巡检完成后应出具巡检报告及问题整改报告。维护方式包括电话、远程及现场维护，若因电话及远程维护均无法解决问题，投标人必须在10分钟内响应并在2小时内到现场进行维护，费用包含在投标人投标报价中，采购人不再另行支付费用。</w:t>
      </w:r>
    </w:p>
    <w:p>
      <w:pPr>
        <w:spacing w:line="500" w:lineRule="exact"/>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3.2 系统的软件开发、架构及安全性需符合《中华人民共和国网络安全法》及信息系统安全等级保护第三级及以上等保要求。</w:t>
      </w:r>
    </w:p>
    <w:p>
      <w:pPr>
        <w:spacing w:line="500" w:lineRule="exact"/>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3.3 如因支撑相关软件的设备(由采购人提供)发生故障，供应商应配合相关设备维修方在设备故障排除后3个工作日内对软件进行调试，达到正常运行要求，保证采购人正常使用。</w:t>
      </w:r>
    </w:p>
    <w:p>
      <w:pPr>
        <w:spacing w:line="500" w:lineRule="exact"/>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3.4 其他要求：供应商需提供专科医联体信息平台的全套服务器端软件的安装（含数据库、应用部署等）、售后维护、调试及数据库的备份工作。</w:t>
      </w:r>
    </w:p>
    <w:p>
      <w:pPr>
        <w:spacing w:line="500" w:lineRule="exact"/>
        <w:ind w:left="0" w:leftChars="0" w:firstLine="240" w:firstLineChars="100"/>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4.系统部署要求：系统应用程序、服务、数据库均需本地化部署，部署场地由采购人提供。</w:t>
      </w:r>
    </w:p>
    <w:p>
      <w:pPr>
        <w:numPr>
          <w:ilvl w:val="-1"/>
          <w:numId w:val="0"/>
        </w:numPr>
        <w:spacing w:line="500" w:lineRule="exact"/>
        <w:ind w:left="420" w:leftChars="200" w:firstLine="0" w:firstLineChars="0"/>
        <w:rPr>
          <w:rFonts w:hint="default" w:ascii="宋体" w:hAnsi="宋体" w:eastAsia="宋体" w:cs="宋体"/>
          <w:b w:val="0"/>
          <w:bCs w:val="0"/>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三、</w:t>
      </w:r>
      <w:r>
        <w:rPr>
          <w:rFonts w:hint="default" w:ascii="宋体" w:hAnsi="宋体" w:eastAsia="宋体" w:cs="宋体"/>
          <w:b w:val="0"/>
          <w:bCs w:val="0"/>
          <w:color w:val="000000" w:themeColor="text1"/>
          <w:sz w:val="24"/>
          <w:szCs w:val="24"/>
          <w:highlight w:val="none"/>
          <w14:textFill>
            <w14:solidFill>
              <w14:schemeClr w14:val="tx1"/>
            </w14:solidFill>
          </w14:textFill>
        </w:rPr>
        <w:t>技术、服务要求</w:t>
      </w:r>
      <w:r>
        <w:rPr>
          <w:rFonts w:hint="default" w:ascii="宋体" w:hAnsi="宋体" w:eastAsia="宋体" w:cs="宋体"/>
          <w:b w:val="0"/>
          <w:bCs w:val="0"/>
          <w:color w:val="000000" w:themeColor="text1"/>
          <w:sz w:val="24"/>
          <w:szCs w:val="24"/>
          <w:highlight w:val="none"/>
          <w:lang w:eastAsia="zh-CN"/>
          <w14:textFill>
            <w14:solidFill>
              <w14:schemeClr w14:val="tx1"/>
            </w14:solidFill>
          </w14:textFill>
        </w:rPr>
        <w:t>：</w:t>
      </w:r>
    </w:p>
    <w:p>
      <w:pPr>
        <w:numPr>
          <w:ilvl w:val="-1"/>
          <w:numId w:val="0"/>
        </w:numPr>
        <w:spacing w:line="500" w:lineRule="exact"/>
        <w:ind w:left="0" w:leftChars="0" w:firstLine="482" w:firstLineChars="200"/>
        <w:rPr>
          <w:rFonts w:hint="default"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1.</w:t>
      </w:r>
      <w:r>
        <w:rPr>
          <w:rFonts w:hint="default" w:ascii="宋体" w:hAnsi="宋体" w:eastAsia="宋体" w:cs="宋体"/>
          <w:b/>
          <w:bCs/>
          <w:color w:val="000000" w:themeColor="text1"/>
          <w:sz w:val="24"/>
          <w:szCs w:val="24"/>
          <w:highlight w:val="none"/>
          <w14:textFill>
            <w14:solidFill>
              <w14:schemeClr w14:val="tx1"/>
            </w14:solidFill>
          </w14:textFill>
        </w:rPr>
        <w:t>基础管理模块</w:t>
      </w:r>
      <w:r>
        <w:rPr>
          <w:rFonts w:hint="default" w:ascii="宋体" w:hAnsi="宋体" w:eastAsia="宋体" w:cs="宋体"/>
          <w:b/>
          <w:bCs/>
          <w:color w:val="000000" w:themeColor="text1"/>
          <w:sz w:val="24"/>
          <w:szCs w:val="24"/>
          <w:highlight w:val="none"/>
          <w:lang w:eastAsia="zh-CN"/>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14:textFill>
            <w14:solidFill>
              <w14:schemeClr w14:val="tx1"/>
            </w14:solidFill>
          </w14:textFill>
        </w:rPr>
        <w:t>提供平台运行的相关实体信息的维护管理功能，具体包括基本信息、院区、科室、医生信息、权限管理以及数据字典等。遵循医院统一制定的主数据标准，院区、科室、医生信息及部分标准数据字典来源于医院的标准主数据源，省去标准对照工作。具体功能要求如下：</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w:t>
      </w:r>
      <w:r>
        <w:rPr>
          <w:rFonts w:hint="default" w:ascii="宋体" w:hAnsi="宋体" w:eastAsia="宋体" w:cs="宋体"/>
          <w:color w:val="000000" w:themeColor="text1"/>
          <w:sz w:val="24"/>
          <w:szCs w:val="24"/>
          <w:highlight w:val="none"/>
          <w14:textFill>
            <w14:solidFill>
              <w14:schemeClr w14:val="tx1"/>
            </w14:solidFill>
          </w14:textFill>
        </w:rPr>
        <w:t>机构信息管理：管理和维护机构信息，包括但不限于机构编码、机构名称、机构地址、机构联系电话、机构性质、机构等级、机构简介等，支持机构信息的添加、删除、修改等操作；</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w:t>
      </w:r>
      <w:r>
        <w:rPr>
          <w:rFonts w:hint="default" w:ascii="宋体" w:hAnsi="宋体" w:eastAsia="宋体" w:cs="宋体"/>
          <w:color w:val="000000" w:themeColor="text1"/>
          <w:sz w:val="24"/>
          <w:szCs w:val="24"/>
          <w:highlight w:val="none"/>
          <w14:textFill>
            <w14:solidFill>
              <w14:schemeClr w14:val="tx1"/>
            </w14:solidFill>
          </w14:textFill>
        </w:rPr>
        <w:t>科室信息管理：管理和维护科室信息，包括但不限于科室编码，科室名称、所属机构、科室类型、简介等，支持科室信息的添加、删除、修改等操作；</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w:t>
      </w:r>
      <w:r>
        <w:rPr>
          <w:rFonts w:hint="default" w:ascii="宋体" w:hAnsi="宋体" w:eastAsia="宋体" w:cs="宋体"/>
          <w:color w:val="000000" w:themeColor="text1"/>
          <w:sz w:val="24"/>
          <w:szCs w:val="24"/>
          <w:highlight w:val="none"/>
          <w14:textFill>
            <w14:solidFill>
              <w14:schemeClr w14:val="tx1"/>
            </w14:solidFill>
          </w14:textFill>
        </w:rPr>
        <w:t>医护人员管理：管理和维护医护人员信息，包括但不限于医护编码、医护姓名、工号、出生日期、性别、身份证、所属科室、所属机构、职称、岗位、联系方式、介绍、专长、执业证等，支持医护人员的增加、停用、修改、授权角色等操作；</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w:t>
      </w:r>
      <w:r>
        <w:rPr>
          <w:rFonts w:hint="default" w:ascii="宋体" w:hAnsi="宋体" w:eastAsia="宋体" w:cs="宋体"/>
          <w:color w:val="000000" w:themeColor="text1"/>
          <w:sz w:val="24"/>
          <w:szCs w:val="24"/>
          <w:highlight w:val="none"/>
          <w14:textFill>
            <w14:solidFill>
              <w14:schemeClr w14:val="tx1"/>
            </w14:solidFill>
          </w14:textFill>
        </w:rPr>
        <w:t>▲数据字典管理：管理和维护标准字典信息，包括但不限于字典的名称、编码、是否启用等，支持数据字典的添加、修改、赋值等操作；</w:t>
      </w:r>
    </w:p>
    <w:p>
      <w:pPr>
        <w:numPr>
          <w:ilvl w:val="-1"/>
          <w:numId w:val="0"/>
        </w:numPr>
        <w:spacing w:line="500" w:lineRule="exact"/>
        <w:ind w:firstLine="480" w:firstLineChars="200"/>
        <w:jc w:val="left"/>
        <w:rPr>
          <w:rFonts w:hint="default"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1.5</w:t>
      </w:r>
      <w:r>
        <w:rPr>
          <w:rFonts w:ascii="宋体" w:hAnsi="宋体" w:eastAsia="宋体" w:cs="宋体"/>
          <w:color w:val="000000" w:themeColor="text1"/>
          <w:sz w:val="24"/>
          <w:szCs w:val="24"/>
          <w:highlight w:val="none"/>
          <w14:textFill>
            <w14:solidFill>
              <w14:schemeClr w14:val="tx1"/>
            </w14:solidFill>
          </w14:textFill>
        </w:rPr>
        <w:t>角色管理</w:t>
      </w:r>
      <w:r>
        <w:rPr>
          <w:rFonts w:hint="default" w:ascii="宋体" w:hAnsi="宋体" w:eastAsia="宋体" w:cs="宋体"/>
          <w:color w:val="000000" w:themeColor="text1"/>
          <w:sz w:val="24"/>
          <w:szCs w:val="24"/>
          <w:highlight w:val="none"/>
          <w14:textFill>
            <w14:solidFill>
              <w14:schemeClr w14:val="tx1"/>
            </w14:solidFill>
          </w14:textFill>
        </w:rPr>
        <w:t>：</w:t>
      </w:r>
      <w:r>
        <w:rPr>
          <w:rFonts w:ascii="宋体" w:hAnsi="宋体" w:eastAsia="宋体" w:cs="宋体"/>
          <w:color w:val="000000" w:themeColor="text1"/>
          <w:sz w:val="24"/>
          <w:szCs w:val="24"/>
          <w:highlight w:val="none"/>
          <w14:textFill>
            <w14:solidFill>
              <w14:schemeClr w14:val="tx1"/>
            </w14:solidFill>
          </w14:textFill>
        </w:rPr>
        <w:t>管理和维护系统平台用户的角色信息</w:t>
      </w:r>
      <w:r>
        <w:rPr>
          <w:rFonts w:hint="default" w:ascii="宋体" w:hAnsi="宋体" w:eastAsia="宋体" w:cs="宋体"/>
          <w:color w:val="000000" w:themeColor="text1"/>
          <w:sz w:val="24"/>
          <w:szCs w:val="24"/>
          <w:highlight w:val="none"/>
          <w14:textFill>
            <w14:solidFill>
              <w14:schemeClr w14:val="tx1"/>
            </w14:solidFill>
          </w14:textFill>
        </w:rPr>
        <w:t>，支持角色信息的添加、修改、删除等操作，支持角色的状态、描述以及对单个角色进行系统功能模块的菜单赋权等。</w:t>
      </w:r>
    </w:p>
    <w:p>
      <w:pPr>
        <w:numPr>
          <w:ilvl w:val="-1"/>
          <w:numId w:val="0"/>
        </w:numPr>
        <w:spacing w:line="500" w:lineRule="exact"/>
        <w:ind w:firstLine="482" w:firstLineChars="200"/>
        <w:jc w:val="left"/>
        <w:rPr>
          <w:rFonts w:hint="default" w:ascii="宋体" w:hAnsi="宋体" w:eastAsia="宋体" w:cs="宋体"/>
          <w:b w:val="0"/>
          <w:bCs w:val="0"/>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default" w:ascii="宋体" w:hAnsi="宋体" w:eastAsia="宋体" w:cs="宋体"/>
          <w:b/>
          <w:bCs/>
          <w:color w:val="000000" w:themeColor="text1"/>
          <w:sz w:val="24"/>
          <w:szCs w:val="24"/>
          <w:highlight w:val="none"/>
          <w14:textFill>
            <w14:solidFill>
              <w14:schemeClr w14:val="tx1"/>
            </w14:solidFill>
          </w14:textFill>
        </w:rPr>
        <w:t>医联体转诊模块</w:t>
      </w:r>
      <w:r>
        <w:rPr>
          <w:rFonts w:hint="default" w:ascii="宋体" w:hAnsi="宋体" w:eastAsia="宋体" w:cs="宋体"/>
          <w:b/>
          <w:bCs/>
          <w:color w:val="000000" w:themeColor="text1"/>
          <w:sz w:val="24"/>
          <w:szCs w:val="24"/>
          <w:highlight w:val="none"/>
          <w:lang w:eastAsia="zh-CN"/>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14:textFill>
            <w14:solidFill>
              <w14:schemeClr w14:val="tx1"/>
            </w14:solidFill>
          </w14:textFill>
        </w:rPr>
        <w:t>提供医联体成员单位为患者进行信息登记、在线转诊等服务。由于社区卫生服务机构在设备和技术条件方面的限制，对一些无诊断资质及或无相关检查设备的患者转移到我院进行就诊。我院对申请信息予以审核后接收该患者。具体功能要求如下：</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w:t>
      </w:r>
      <w:r>
        <w:rPr>
          <w:rFonts w:hint="default" w:ascii="宋体" w:hAnsi="宋体" w:eastAsia="宋体" w:cs="宋体"/>
          <w:color w:val="000000" w:themeColor="text1"/>
          <w:sz w:val="24"/>
          <w:szCs w:val="24"/>
          <w:highlight w:val="none"/>
          <w14:textFill>
            <w14:solidFill>
              <w14:schemeClr w14:val="tx1"/>
            </w14:solidFill>
          </w14:textFill>
        </w:rPr>
        <w:t>▲支持由医联体成员单位向我院发起转诊申请，转诊基于预约功能实现；</w:t>
      </w:r>
    </w:p>
    <w:p>
      <w:pPr>
        <w:numPr>
          <w:ilvl w:val="-1"/>
          <w:numId w:val="0"/>
        </w:numPr>
        <w:spacing w:line="500" w:lineRule="exact"/>
        <w:ind w:firstLine="480" w:firstLineChars="200"/>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w:t>
      </w:r>
      <w:r>
        <w:rPr>
          <w:rFonts w:hint="default" w:ascii="宋体" w:hAnsi="宋体" w:eastAsia="宋体" w:cs="宋体"/>
          <w:color w:val="000000" w:themeColor="text1"/>
          <w:sz w:val="24"/>
          <w:szCs w:val="24"/>
          <w:highlight w:val="none"/>
          <w14:textFill>
            <w14:solidFill>
              <w14:schemeClr w14:val="tx1"/>
            </w14:solidFill>
          </w14:textFill>
        </w:rPr>
        <w:t>患者查询：支持医生通过平台查询患者基础信息，包括但不限于姓名、联系方式、费别等</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w:t>
      </w:r>
      <w:r>
        <w:rPr>
          <w:rFonts w:hint="default" w:ascii="宋体" w:hAnsi="宋体" w:eastAsia="宋体" w:cs="宋体"/>
          <w:color w:val="000000" w:themeColor="text1"/>
          <w:sz w:val="24"/>
          <w:szCs w:val="24"/>
          <w:highlight w:val="none"/>
          <w14:textFill>
            <w14:solidFill>
              <w14:schemeClr w14:val="tx1"/>
            </w14:solidFill>
          </w14:textFill>
        </w:rPr>
        <w:t>信息登记：支持医生通过平台进行患者信息登记，并可通过就诊卡（社保卡）自动获取患者登记信息；</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w:t>
      </w:r>
      <w:r>
        <w:rPr>
          <w:rFonts w:hint="default" w:ascii="宋体" w:hAnsi="宋体" w:eastAsia="宋体" w:cs="宋体"/>
          <w:color w:val="000000" w:themeColor="text1"/>
          <w:sz w:val="24"/>
          <w:szCs w:val="24"/>
          <w:highlight w:val="none"/>
          <w14:textFill>
            <w14:solidFill>
              <w14:schemeClr w14:val="tx1"/>
            </w14:solidFill>
          </w14:textFill>
        </w:rPr>
        <w:t>转诊申请单：平台可实现医生在线开具申请单，支持医生通过平台为医联体成员单位患者开立转诊申请；</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1.5</w:t>
      </w:r>
      <w:r>
        <w:rPr>
          <w:rFonts w:hint="default" w:ascii="宋体" w:hAnsi="宋体" w:eastAsia="宋体" w:cs="宋体"/>
          <w:color w:val="000000" w:themeColor="text1"/>
          <w:sz w:val="24"/>
          <w:szCs w:val="24"/>
          <w:highlight w:val="none"/>
          <w14:textFill>
            <w14:solidFill>
              <w14:schemeClr w14:val="tx1"/>
            </w14:solidFill>
          </w14:textFill>
        </w:rPr>
        <w:t>纸质申请单：支持复杂申请单须手工单据申报时，由高拍仪拍照上传至平台；</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1.6</w:t>
      </w:r>
      <w:r>
        <w:rPr>
          <w:rFonts w:hint="default" w:ascii="宋体" w:hAnsi="宋体" w:eastAsia="宋体" w:cs="宋体"/>
          <w:color w:val="000000" w:themeColor="text1"/>
          <w:sz w:val="24"/>
          <w:szCs w:val="24"/>
          <w:highlight w:val="none"/>
          <w14:textFill>
            <w14:solidFill>
              <w14:schemeClr w14:val="tx1"/>
            </w14:solidFill>
          </w14:textFill>
        </w:rPr>
        <w:t>申请单传送：支持申请转诊医生为患者选定转诊项目（如：转门诊C</w:t>
      </w:r>
      <w:r>
        <w:rPr>
          <w:rFonts w:ascii="宋体" w:hAnsi="宋体" w:eastAsia="宋体" w:cs="宋体"/>
          <w:color w:val="000000" w:themeColor="text1"/>
          <w:sz w:val="24"/>
          <w:szCs w:val="24"/>
          <w:highlight w:val="none"/>
          <w14:textFill>
            <w14:solidFill>
              <w14:schemeClr w14:val="tx1"/>
            </w14:solidFill>
          </w14:textFill>
        </w:rPr>
        <w:t>T</w:t>
      </w:r>
      <w:r>
        <w:rPr>
          <w:rFonts w:hint="default" w:ascii="宋体" w:hAnsi="宋体" w:eastAsia="宋体" w:cs="宋体"/>
          <w:color w:val="000000" w:themeColor="text1"/>
          <w:sz w:val="24"/>
          <w:szCs w:val="24"/>
          <w:highlight w:val="none"/>
          <w14:textFill>
            <w14:solidFill>
              <w14:schemeClr w14:val="tx1"/>
            </w14:solidFill>
          </w14:textFill>
        </w:rPr>
        <w:t>、超声等）后，平台生成申请单，并发送至区妇幼保健院；</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1.7</w:t>
      </w:r>
      <w:r>
        <w:rPr>
          <w:rFonts w:hint="default" w:ascii="宋体" w:hAnsi="宋体" w:eastAsia="宋体" w:cs="宋体"/>
          <w:color w:val="000000" w:themeColor="text1"/>
          <w:sz w:val="24"/>
          <w:szCs w:val="24"/>
          <w:highlight w:val="none"/>
          <w14:textFill>
            <w14:solidFill>
              <w14:schemeClr w14:val="tx1"/>
            </w14:solidFill>
          </w14:textFill>
        </w:rPr>
        <w:t>申请单取消：支持医联体单位申请单已发送但在我院未接收情况下，由转诊医生在线撤回申请单，并填写撤回原因，系统须有撤回日志查询；</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1.8</w:t>
      </w:r>
      <w:r>
        <w:rPr>
          <w:rFonts w:hint="default" w:ascii="宋体" w:hAnsi="宋体" w:eastAsia="宋体" w:cs="宋体"/>
          <w:color w:val="000000" w:themeColor="text1"/>
          <w:sz w:val="24"/>
          <w:szCs w:val="24"/>
          <w:highlight w:val="none"/>
          <w14:textFill>
            <w14:solidFill>
              <w14:schemeClr w14:val="tx1"/>
            </w14:solidFill>
          </w14:textFill>
        </w:rPr>
        <w:t>转诊审核：支持我院医生对转诊申请单进行审核，对提出转诊的患者基础情况进行分析和判断，并给出审核结果推送至转诊发起单位；</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1.9</w:t>
      </w:r>
      <w:r>
        <w:rPr>
          <w:rFonts w:hint="default" w:ascii="宋体" w:hAnsi="宋体" w:eastAsia="宋体" w:cs="宋体"/>
          <w:color w:val="000000" w:themeColor="text1"/>
          <w:sz w:val="24"/>
          <w:szCs w:val="24"/>
          <w:highlight w:val="none"/>
          <w14:textFill>
            <w14:solidFill>
              <w14:schemeClr w14:val="tx1"/>
            </w14:solidFill>
          </w14:textFill>
        </w:rPr>
        <w:t>诊疗信息：支持上传患者的初步诊断、病历摘要等诊疗信息；</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1.10</w:t>
      </w:r>
      <w:r>
        <w:rPr>
          <w:rFonts w:hint="default" w:ascii="宋体" w:hAnsi="宋体" w:eastAsia="宋体" w:cs="宋体"/>
          <w:color w:val="000000" w:themeColor="text1"/>
          <w:sz w:val="24"/>
          <w:szCs w:val="24"/>
          <w:highlight w:val="none"/>
          <w14:textFill>
            <w14:solidFill>
              <w14:schemeClr w14:val="tx1"/>
            </w14:solidFill>
          </w14:textFill>
        </w:rPr>
        <w:t>转诊原因：支持填写患者转诊的原因；</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1.11</w:t>
      </w:r>
      <w:r>
        <w:rPr>
          <w:rFonts w:hint="default" w:ascii="宋体" w:hAnsi="宋体" w:eastAsia="宋体" w:cs="宋体"/>
          <w:color w:val="000000" w:themeColor="text1"/>
          <w:sz w:val="24"/>
          <w:szCs w:val="24"/>
          <w:highlight w:val="none"/>
          <w14:textFill>
            <w14:solidFill>
              <w14:schemeClr w14:val="tx1"/>
            </w14:solidFill>
          </w14:textFill>
        </w:rPr>
        <w:t>接入设备查询：支持查询接入医院的科室信息、医生排班信息、转诊项目、设备介绍等；</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1.12</w:t>
      </w:r>
      <w:r>
        <w:rPr>
          <w:rFonts w:hint="default" w:ascii="宋体" w:hAnsi="宋体" w:eastAsia="宋体" w:cs="宋体"/>
          <w:color w:val="000000" w:themeColor="text1"/>
          <w:sz w:val="24"/>
          <w:szCs w:val="24"/>
          <w:highlight w:val="none"/>
          <w14:textFill>
            <w14:solidFill>
              <w14:schemeClr w14:val="tx1"/>
            </w14:solidFill>
          </w14:textFill>
        </w:rPr>
        <w:t>转诊类别：</w:t>
      </w:r>
      <w:r>
        <w:rPr>
          <w:rFonts w:ascii="宋体" w:hAnsi="宋体" w:eastAsia="宋体" w:cs="宋体"/>
          <w:color w:val="000000" w:themeColor="text1"/>
          <w:sz w:val="24"/>
          <w:szCs w:val="24"/>
          <w:highlight w:val="none"/>
          <w14:textFill>
            <w14:solidFill>
              <w14:schemeClr w14:val="tx1"/>
            </w14:solidFill>
          </w14:textFill>
        </w:rPr>
        <w:t>支持转诊类别</w:t>
      </w:r>
      <w:r>
        <w:rPr>
          <w:rFonts w:hint="default" w:ascii="宋体" w:hAnsi="宋体" w:eastAsia="宋体" w:cs="宋体"/>
          <w:color w:val="000000" w:themeColor="text1"/>
          <w:sz w:val="24"/>
          <w:szCs w:val="24"/>
          <w:highlight w:val="none"/>
          <w14:textFill>
            <w14:solidFill>
              <w14:schemeClr w14:val="tx1"/>
            </w14:solidFill>
          </w14:textFill>
        </w:rPr>
        <w:t>、</w:t>
      </w:r>
      <w:r>
        <w:rPr>
          <w:rFonts w:ascii="宋体" w:hAnsi="宋体" w:eastAsia="宋体" w:cs="宋体"/>
          <w:color w:val="000000" w:themeColor="text1"/>
          <w:sz w:val="24"/>
          <w:szCs w:val="24"/>
          <w:highlight w:val="none"/>
          <w14:textFill>
            <w14:solidFill>
              <w14:schemeClr w14:val="tx1"/>
            </w14:solidFill>
          </w14:textFill>
        </w:rPr>
        <w:t>转诊科室</w:t>
      </w:r>
      <w:r>
        <w:rPr>
          <w:rFonts w:hint="default" w:ascii="宋体" w:hAnsi="宋体" w:eastAsia="宋体" w:cs="宋体"/>
          <w:color w:val="000000" w:themeColor="text1"/>
          <w:sz w:val="24"/>
          <w:szCs w:val="24"/>
          <w:highlight w:val="none"/>
          <w14:textFill>
            <w14:solidFill>
              <w14:schemeClr w14:val="tx1"/>
            </w14:solidFill>
          </w14:textFill>
        </w:rPr>
        <w:t>、</w:t>
      </w:r>
      <w:r>
        <w:rPr>
          <w:rFonts w:ascii="宋体" w:hAnsi="宋体" w:eastAsia="宋体" w:cs="宋体"/>
          <w:color w:val="000000" w:themeColor="text1"/>
          <w:sz w:val="24"/>
          <w:szCs w:val="24"/>
          <w:highlight w:val="none"/>
          <w14:textFill>
            <w14:solidFill>
              <w14:schemeClr w14:val="tx1"/>
            </w14:solidFill>
          </w14:textFill>
        </w:rPr>
        <w:t>转诊时间的选择</w:t>
      </w:r>
      <w:r>
        <w:rPr>
          <w:rFonts w:hint="default" w:ascii="宋体" w:hAnsi="宋体" w:eastAsia="宋体" w:cs="宋体"/>
          <w:color w:val="000000" w:themeColor="text1"/>
          <w:sz w:val="24"/>
          <w:szCs w:val="24"/>
          <w:highlight w:val="none"/>
          <w14:textFill>
            <w14:solidFill>
              <w14:schemeClr w14:val="tx1"/>
            </w14:solidFill>
          </w14:textFill>
        </w:rPr>
        <w:t>；</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1.13</w:t>
      </w:r>
      <w:r>
        <w:rPr>
          <w:rFonts w:hint="default" w:ascii="宋体" w:hAnsi="宋体" w:eastAsia="宋体" w:cs="宋体"/>
          <w:color w:val="000000" w:themeColor="text1"/>
          <w:sz w:val="24"/>
          <w:szCs w:val="24"/>
          <w:highlight w:val="none"/>
          <w14:textFill>
            <w14:solidFill>
              <w14:schemeClr w14:val="tx1"/>
            </w14:solidFill>
          </w14:textFill>
        </w:rPr>
        <w:t>信息导入：</w:t>
      </w:r>
      <w:r>
        <w:rPr>
          <w:rFonts w:ascii="宋体" w:hAnsi="宋体" w:eastAsia="宋体" w:cs="宋体"/>
          <w:color w:val="000000" w:themeColor="text1"/>
          <w:sz w:val="24"/>
          <w:szCs w:val="24"/>
          <w:highlight w:val="none"/>
          <w14:textFill>
            <w14:solidFill>
              <w14:schemeClr w14:val="tx1"/>
            </w14:solidFill>
          </w14:textFill>
        </w:rPr>
        <w:t>支持转诊患者信息</w:t>
      </w:r>
      <w:r>
        <w:rPr>
          <w:rFonts w:hint="default" w:ascii="宋体" w:hAnsi="宋体" w:eastAsia="宋体" w:cs="宋体"/>
          <w:color w:val="000000" w:themeColor="text1"/>
          <w:sz w:val="24"/>
          <w:szCs w:val="24"/>
          <w:highlight w:val="none"/>
          <w14:textFill>
            <w14:solidFill>
              <w14:schemeClr w14:val="tx1"/>
            </w14:solidFill>
          </w14:textFill>
        </w:rPr>
        <w:t>、就诊情况、注意事项</w:t>
      </w:r>
      <w:r>
        <w:rPr>
          <w:rFonts w:ascii="宋体" w:hAnsi="宋体" w:eastAsia="宋体" w:cs="宋体"/>
          <w:color w:val="000000" w:themeColor="text1"/>
          <w:sz w:val="24"/>
          <w:szCs w:val="24"/>
          <w:highlight w:val="none"/>
          <w14:textFill>
            <w14:solidFill>
              <w14:schemeClr w14:val="tx1"/>
            </w14:solidFill>
          </w14:textFill>
        </w:rPr>
        <w:t>的快速导入</w:t>
      </w:r>
      <w:r>
        <w:rPr>
          <w:rFonts w:hint="default" w:ascii="宋体" w:hAnsi="宋体" w:eastAsia="宋体" w:cs="宋体"/>
          <w:color w:val="000000" w:themeColor="text1"/>
          <w:sz w:val="24"/>
          <w:szCs w:val="24"/>
          <w:highlight w:val="none"/>
          <w14:textFill>
            <w14:solidFill>
              <w14:schemeClr w14:val="tx1"/>
            </w14:solidFill>
          </w14:textFill>
        </w:rPr>
        <w:t>；</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1.14</w:t>
      </w:r>
      <w:r>
        <w:rPr>
          <w:rFonts w:hint="default" w:ascii="宋体" w:hAnsi="宋体" w:eastAsia="宋体" w:cs="宋体"/>
          <w:color w:val="000000" w:themeColor="text1"/>
          <w:sz w:val="24"/>
          <w:szCs w:val="24"/>
          <w:highlight w:val="none"/>
          <w14:textFill>
            <w14:solidFill>
              <w14:schemeClr w14:val="tx1"/>
            </w14:solidFill>
          </w14:textFill>
        </w:rPr>
        <w:t>接收时间：支持根据患者转诊项目预约接入医院的到诊时间；</w:t>
      </w:r>
    </w:p>
    <w:p>
      <w:pPr>
        <w:numPr>
          <w:ilvl w:val="-1"/>
          <w:numId w:val="0"/>
        </w:numPr>
        <w:spacing w:line="500" w:lineRule="exact"/>
        <w:ind w:firstLine="480" w:firstLineChars="200"/>
        <w:jc w:val="left"/>
        <w:rPr>
          <w:rFonts w:hint="default"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1.15</w:t>
      </w:r>
      <w:r>
        <w:rPr>
          <w:rFonts w:hint="default" w:ascii="宋体" w:hAnsi="宋体" w:eastAsia="宋体" w:cs="宋体"/>
          <w:color w:val="000000" w:themeColor="text1"/>
          <w:sz w:val="24"/>
          <w:szCs w:val="24"/>
          <w:highlight w:val="none"/>
          <w14:textFill>
            <w14:solidFill>
              <w14:schemeClr w14:val="tx1"/>
            </w14:solidFill>
          </w14:textFill>
        </w:rPr>
        <w:t>结果通知：支持预约完成的信息通过短信、A</w:t>
      </w:r>
      <w:r>
        <w:rPr>
          <w:rFonts w:ascii="宋体" w:hAnsi="宋体" w:eastAsia="宋体" w:cs="宋体"/>
          <w:color w:val="000000" w:themeColor="text1"/>
          <w:sz w:val="24"/>
          <w:szCs w:val="24"/>
          <w:highlight w:val="none"/>
          <w14:textFill>
            <w14:solidFill>
              <w14:schemeClr w14:val="tx1"/>
            </w14:solidFill>
          </w14:textFill>
        </w:rPr>
        <w:t>PP</w:t>
      </w:r>
      <w:r>
        <w:rPr>
          <w:rFonts w:hint="default" w:ascii="宋体" w:hAnsi="宋体" w:eastAsia="宋体" w:cs="宋体"/>
          <w:color w:val="000000" w:themeColor="text1"/>
          <w:sz w:val="24"/>
          <w:szCs w:val="24"/>
          <w:highlight w:val="none"/>
          <w14:textFill>
            <w14:solidFill>
              <w14:schemeClr w14:val="tx1"/>
            </w14:solidFill>
          </w14:textFill>
        </w:rPr>
        <w:t>等方式告知患者。</w:t>
      </w:r>
    </w:p>
    <w:p>
      <w:pPr>
        <w:numPr>
          <w:ilvl w:val="-1"/>
          <w:numId w:val="0"/>
        </w:numPr>
        <w:spacing w:line="500" w:lineRule="exact"/>
        <w:ind w:firstLine="482" w:firstLineChars="200"/>
        <w:jc w:val="left"/>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default" w:ascii="宋体" w:hAnsi="宋体" w:eastAsia="宋体" w:cs="宋体"/>
          <w:b/>
          <w:bCs/>
          <w:color w:val="000000" w:themeColor="text1"/>
          <w:sz w:val="24"/>
          <w:szCs w:val="24"/>
          <w:highlight w:val="none"/>
          <w14:textFill>
            <w14:solidFill>
              <w14:schemeClr w14:val="tx1"/>
            </w14:solidFill>
          </w14:textFill>
        </w:rPr>
        <w:t>转诊号源管理模块</w:t>
      </w:r>
    </w:p>
    <w:p>
      <w:pPr>
        <w:spacing w:line="500" w:lineRule="exact"/>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14:textFill>
            <w14:solidFill>
              <w14:schemeClr w14:val="tx1"/>
            </w14:solidFill>
          </w14:textFill>
        </w:rPr>
        <w:t>转诊号源管理模块须为医联体成为单位建立起统一号源池，须基于我院预约号源池建立，同时可实现动态适时调整队列，不影响院内相关医疗业务的开展。具体功能要求如下：</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w:t>
      </w:r>
      <w:r>
        <w:rPr>
          <w:rFonts w:hint="default" w:ascii="宋体" w:hAnsi="宋体" w:eastAsia="宋体" w:cs="宋体"/>
          <w:color w:val="000000" w:themeColor="text1"/>
          <w:sz w:val="24"/>
          <w:szCs w:val="24"/>
          <w:highlight w:val="none"/>
          <w14:textFill>
            <w14:solidFill>
              <w14:schemeClr w14:val="tx1"/>
            </w14:solidFill>
          </w14:textFill>
        </w:rPr>
        <w:t>▲号源管理：须对转诊情况进行预约号源的管理，由我院预约号源池根据不同预约方式进行号源分配，号源与医院端同步；</w:t>
      </w:r>
    </w:p>
    <w:p>
      <w:pPr>
        <w:numPr>
          <w:ilvl w:val="-1"/>
          <w:numId w:val="0"/>
        </w:numPr>
        <w:spacing w:line="500" w:lineRule="exact"/>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w:t>
      </w:r>
      <w:r>
        <w:rPr>
          <w:rFonts w:hint="default" w:ascii="宋体" w:hAnsi="宋体" w:eastAsia="宋体" w:cs="宋体"/>
          <w:color w:val="000000" w:themeColor="text1"/>
          <w:sz w:val="24"/>
          <w:szCs w:val="24"/>
          <w:highlight w:val="none"/>
          <w14:textFill>
            <w14:solidFill>
              <w14:schemeClr w14:val="tx1"/>
            </w14:solidFill>
          </w14:textFill>
        </w:rPr>
        <w:t>预约规则：转诊预约时可根据医生的排班表、设备的排班表及医院设定的预约规则进行预约；</w:t>
      </w:r>
    </w:p>
    <w:p>
      <w:pPr>
        <w:numPr>
          <w:ilvl w:val="-1"/>
          <w:numId w:val="0"/>
        </w:numPr>
        <w:spacing w:line="500" w:lineRule="exact"/>
        <w:ind w:firstLine="480" w:firstLineChars="200"/>
        <w:jc w:val="left"/>
        <w:rPr>
          <w:rFonts w:hint="default"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w:t>
      </w:r>
      <w:r>
        <w:rPr>
          <w:rFonts w:hint="default" w:ascii="宋体" w:hAnsi="宋体" w:eastAsia="宋体" w:cs="宋体"/>
          <w:color w:val="000000" w:themeColor="text1"/>
          <w:sz w:val="24"/>
          <w:szCs w:val="24"/>
          <w:highlight w:val="none"/>
          <w14:textFill>
            <w14:solidFill>
              <w14:schemeClr w14:val="tx1"/>
            </w14:solidFill>
          </w14:textFill>
        </w:rPr>
        <w:t>号源排班：须支持按星期排班、按月度排班，根据节假日特殊情况可实时调整号源，医联体成员单位可实时查看号源剩余情况</w:t>
      </w:r>
      <w:r>
        <w:rPr>
          <w:rFonts w:hint="default" w:ascii="宋体" w:hAnsi="宋体" w:eastAsia="宋体" w:cs="宋体"/>
          <w:color w:val="000000" w:themeColor="text1"/>
          <w:sz w:val="24"/>
          <w:szCs w:val="24"/>
          <w:highlight w:val="none"/>
          <w:lang w:eastAsia="zh-CN"/>
          <w14:textFill>
            <w14:solidFill>
              <w14:schemeClr w14:val="tx1"/>
            </w14:solidFill>
          </w14:textFill>
        </w:rPr>
        <w:t>。</w:t>
      </w:r>
    </w:p>
    <w:p>
      <w:pPr>
        <w:numPr>
          <w:ilvl w:val="-1"/>
          <w:numId w:val="0"/>
        </w:numPr>
        <w:spacing w:line="500" w:lineRule="exact"/>
        <w:ind w:firstLine="482" w:firstLineChars="200"/>
        <w:jc w:val="left"/>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default" w:ascii="宋体" w:hAnsi="宋体" w:eastAsia="宋体" w:cs="宋体"/>
          <w:b/>
          <w:bCs/>
          <w:color w:val="000000" w:themeColor="text1"/>
          <w:sz w:val="24"/>
          <w:szCs w:val="24"/>
          <w:highlight w:val="none"/>
          <w14:textFill>
            <w14:solidFill>
              <w14:schemeClr w14:val="tx1"/>
            </w14:solidFill>
          </w14:textFill>
        </w:rPr>
        <w:t>转诊统计分析模块</w:t>
      </w:r>
    </w:p>
    <w:p>
      <w:pPr>
        <w:spacing w:line="500" w:lineRule="exact"/>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14:textFill>
            <w14:solidFill>
              <w14:schemeClr w14:val="tx1"/>
            </w14:solidFill>
          </w14:textFill>
        </w:rPr>
        <w:t>转诊统计分析模块可为医联体转诊信息平台开展工作量统计、转诊量统计、患者情况统计等。具体功能要求如下：</w:t>
      </w:r>
    </w:p>
    <w:p>
      <w:pPr>
        <w:numPr>
          <w:ilvl w:val="-1"/>
          <w:numId w:val="0"/>
        </w:numPr>
        <w:spacing w:line="50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w:t>
      </w:r>
      <w:r>
        <w:rPr>
          <w:rFonts w:hint="default" w:ascii="宋体" w:hAnsi="宋体" w:eastAsia="宋体" w:cs="宋体"/>
          <w:color w:val="000000" w:themeColor="text1"/>
          <w:sz w:val="24"/>
          <w:szCs w:val="24"/>
          <w:highlight w:val="none"/>
          <w14:textFill>
            <w14:solidFill>
              <w14:schemeClr w14:val="tx1"/>
            </w14:solidFill>
          </w14:textFill>
        </w:rPr>
        <w:t>支持按转诊类别统计申请类别；</w:t>
      </w:r>
    </w:p>
    <w:p>
      <w:pPr>
        <w:numPr>
          <w:ilvl w:val="-1"/>
          <w:numId w:val="0"/>
        </w:numPr>
        <w:spacing w:line="50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w:t>
      </w:r>
      <w:r>
        <w:rPr>
          <w:rFonts w:hint="default" w:ascii="宋体" w:hAnsi="宋体" w:eastAsia="宋体" w:cs="宋体"/>
          <w:color w:val="000000" w:themeColor="text1"/>
          <w:sz w:val="24"/>
          <w:szCs w:val="24"/>
          <w:highlight w:val="none"/>
          <w14:textFill>
            <w14:solidFill>
              <w14:schemeClr w14:val="tx1"/>
            </w14:solidFill>
          </w14:textFill>
        </w:rPr>
        <w:t>支持按患者来源统计医联体各申请机构的转诊量；</w:t>
      </w:r>
    </w:p>
    <w:p>
      <w:pPr>
        <w:numPr>
          <w:ilvl w:val="-1"/>
          <w:numId w:val="0"/>
        </w:numPr>
        <w:spacing w:line="50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w:t>
      </w:r>
      <w:r>
        <w:rPr>
          <w:rFonts w:hint="default" w:ascii="宋体" w:hAnsi="宋体" w:eastAsia="宋体" w:cs="宋体"/>
          <w:color w:val="000000" w:themeColor="text1"/>
          <w:sz w:val="24"/>
          <w:szCs w:val="24"/>
          <w:highlight w:val="none"/>
          <w14:textFill>
            <w14:solidFill>
              <w14:schemeClr w14:val="tx1"/>
            </w14:solidFill>
          </w14:textFill>
        </w:rPr>
        <w:t>支持按年度、季度、月度统计转诊情况；</w:t>
      </w:r>
    </w:p>
    <w:p>
      <w:pPr>
        <w:numPr>
          <w:ilvl w:val="-1"/>
          <w:numId w:val="0"/>
        </w:numPr>
        <w:spacing w:line="50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w:t>
      </w:r>
      <w:r>
        <w:rPr>
          <w:rFonts w:hint="default" w:ascii="宋体" w:hAnsi="宋体" w:eastAsia="宋体" w:cs="宋体"/>
          <w:color w:val="000000" w:themeColor="text1"/>
          <w:sz w:val="24"/>
          <w:szCs w:val="24"/>
          <w:highlight w:val="none"/>
          <w14:textFill>
            <w14:solidFill>
              <w14:schemeClr w14:val="tx1"/>
            </w14:solidFill>
          </w14:textFill>
        </w:rPr>
        <w:t>支持统计转诊号源使用量；</w:t>
      </w:r>
    </w:p>
    <w:p>
      <w:pPr>
        <w:numPr>
          <w:ilvl w:val="-1"/>
          <w:numId w:val="0"/>
        </w:numPr>
        <w:spacing w:line="500" w:lineRule="exact"/>
        <w:ind w:left="0" w:leftChars="0" w:firstLine="480" w:firstLineChars="200"/>
        <w:jc w:val="left"/>
        <w:rPr>
          <w:rFonts w:hint="default" w:ascii="仿宋" w:hAnsi="仿宋" w:eastAsia="仿宋"/>
          <w:b/>
          <w:bCs/>
          <w:sz w:val="24"/>
          <w:highlight w:val="none"/>
          <w:lang w:val="en-US" w:eastAsia="zh-CN"/>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1.5</w:t>
      </w:r>
      <w:r>
        <w:rPr>
          <w:rFonts w:hint="default" w:ascii="宋体" w:hAnsi="宋体" w:eastAsia="宋体" w:cs="宋体"/>
          <w:color w:val="000000" w:themeColor="text1"/>
          <w:sz w:val="24"/>
          <w:szCs w:val="24"/>
          <w:highlight w:val="none"/>
          <w14:textFill>
            <w14:solidFill>
              <w14:schemeClr w14:val="tx1"/>
            </w14:solidFill>
          </w14:textFill>
        </w:rPr>
        <w:t>以上各类统计功能均须支持报表打印功能，便于医院留档。</w:t>
      </w:r>
    </w:p>
    <w:p>
      <w:pPr>
        <w:spacing w:line="360" w:lineRule="auto"/>
        <w:jc w:val="left"/>
        <w:rPr>
          <w:rFonts w:hint="eastAsia" w:ascii="华文中宋" w:hAnsi="华文中宋" w:eastAsia="华文中宋"/>
          <w:b/>
          <w:color w:val="000000" w:themeColor="text1"/>
          <w:sz w:val="32"/>
          <w:highlight w:val="none"/>
          <w14:textFill>
            <w14:solidFill>
              <w14:schemeClr w14:val="tx1"/>
            </w14:solidFill>
          </w14:textFill>
        </w:rPr>
        <w:sectPr>
          <w:footerReference r:id="rId3" w:type="default"/>
          <w:pgSz w:w="11906" w:h="16838"/>
          <w:pgMar w:top="850" w:right="1134" w:bottom="850" w:left="1134" w:header="851" w:footer="992" w:gutter="0"/>
          <w:cols w:space="425" w:num="1"/>
          <w:docGrid w:type="lines" w:linePitch="312" w:charSpace="0"/>
        </w:sectPr>
      </w:pPr>
      <w:bookmarkStart w:id="2" w:name="_GoBack"/>
      <w:bookmarkEnd w:id="2"/>
    </w:p>
    <w:p>
      <w:pPr>
        <w:pStyle w:val="5"/>
        <w:widowControl w:val="0"/>
        <w:numPr>
          <w:ilvl w:val="0"/>
          <w:numId w:val="0"/>
        </w:numPr>
        <w:spacing w:after="120"/>
        <w:jc w:val="both"/>
        <w:rPr>
          <w:rFonts w:hint="eastAsia" w:ascii="仿宋" w:hAnsi="仿宋" w:eastAsia="仿宋" w:cs="仿宋"/>
          <w:color w:val="000000" w:themeColor="text1"/>
          <w:highlight w:val="none"/>
          <w14:textFill>
            <w14:solidFill>
              <w14:schemeClr w14:val="tx1"/>
            </w14:solidFill>
          </w14:textFill>
        </w:rPr>
      </w:pPr>
    </w:p>
    <w:sectPr>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550AC"/>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0827C0"/>
    <w:rsid w:val="01261D95"/>
    <w:rsid w:val="0127533C"/>
    <w:rsid w:val="01AF66BC"/>
    <w:rsid w:val="022C5D48"/>
    <w:rsid w:val="02967325"/>
    <w:rsid w:val="02DA5839"/>
    <w:rsid w:val="0343669F"/>
    <w:rsid w:val="03D1158F"/>
    <w:rsid w:val="04557B19"/>
    <w:rsid w:val="049912AC"/>
    <w:rsid w:val="04C61298"/>
    <w:rsid w:val="04D550AF"/>
    <w:rsid w:val="05A83606"/>
    <w:rsid w:val="05B9677F"/>
    <w:rsid w:val="05F62118"/>
    <w:rsid w:val="06380241"/>
    <w:rsid w:val="069F560A"/>
    <w:rsid w:val="076404CB"/>
    <w:rsid w:val="07973EE6"/>
    <w:rsid w:val="07C94BE1"/>
    <w:rsid w:val="07DE6769"/>
    <w:rsid w:val="07E00A0F"/>
    <w:rsid w:val="087F78BA"/>
    <w:rsid w:val="091D0DD3"/>
    <w:rsid w:val="093F0D49"/>
    <w:rsid w:val="095A6A56"/>
    <w:rsid w:val="09CA2C87"/>
    <w:rsid w:val="09E54036"/>
    <w:rsid w:val="0A325ADB"/>
    <w:rsid w:val="0B216CF4"/>
    <w:rsid w:val="0B353F6E"/>
    <w:rsid w:val="0B555D80"/>
    <w:rsid w:val="0B6E5916"/>
    <w:rsid w:val="0C580A4E"/>
    <w:rsid w:val="0D4B4161"/>
    <w:rsid w:val="0E237614"/>
    <w:rsid w:val="0E813BB2"/>
    <w:rsid w:val="0EF652A0"/>
    <w:rsid w:val="0F26150C"/>
    <w:rsid w:val="0F3436E0"/>
    <w:rsid w:val="0F6D5B99"/>
    <w:rsid w:val="0F7B4AA5"/>
    <w:rsid w:val="0FAA6A76"/>
    <w:rsid w:val="0FEE4D13"/>
    <w:rsid w:val="1061346A"/>
    <w:rsid w:val="10AD0C8E"/>
    <w:rsid w:val="12064B5C"/>
    <w:rsid w:val="12100E62"/>
    <w:rsid w:val="12542DDE"/>
    <w:rsid w:val="137B38DC"/>
    <w:rsid w:val="13E946D3"/>
    <w:rsid w:val="146B53DF"/>
    <w:rsid w:val="1658169C"/>
    <w:rsid w:val="16734728"/>
    <w:rsid w:val="16AC0EAA"/>
    <w:rsid w:val="16D20FE6"/>
    <w:rsid w:val="17373CEB"/>
    <w:rsid w:val="17500414"/>
    <w:rsid w:val="17546308"/>
    <w:rsid w:val="177D1B56"/>
    <w:rsid w:val="182425DC"/>
    <w:rsid w:val="182F4CA9"/>
    <w:rsid w:val="188C4A43"/>
    <w:rsid w:val="19232435"/>
    <w:rsid w:val="195C3707"/>
    <w:rsid w:val="19D76D7C"/>
    <w:rsid w:val="1AFC6A9A"/>
    <w:rsid w:val="1B040AF0"/>
    <w:rsid w:val="1B7F6894"/>
    <w:rsid w:val="1B811C08"/>
    <w:rsid w:val="1C2269D4"/>
    <w:rsid w:val="1CFD541C"/>
    <w:rsid w:val="1D957C82"/>
    <w:rsid w:val="1DD80BF7"/>
    <w:rsid w:val="1E8B6382"/>
    <w:rsid w:val="1E9268BE"/>
    <w:rsid w:val="1EFB394F"/>
    <w:rsid w:val="1F953961"/>
    <w:rsid w:val="20F56432"/>
    <w:rsid w:val="21012DCF"/>
    <w:rsid w:val="21556F04"/>
    <w:rsid w:val="22246CB4"/>
    <w:rsid w:val="23A41382"/>
    <w:rsid w:val="23C96556"/>
    <w:rsid w:val="23D504F4"/>
    <w:rsid w:val="23E24D51"/>
    <w:rsid w:val="23FC3FAF"/>
    <w:rsid w:val="246F59E3"/>
    <w:rsid w:val="24DA7466"/>
    <w:rsid w:val="256746D6"/>
    <w:rsid w:val="25777D91"/>
    <w:rsid w:val="26B72586"/>
    <w:rsid w:val="26F72605"/>
    <w:rsid w:val="27057ABC"/>
    <w:rsid w:val="27807BE0"/>
    <w:rsid w:val="288C0FF6"/>
    <w:rsid w:val="29DA40B8"/>
    <w:rsid w:val="29FD5AAD"/>
    <w:rsid w:val="2AC140BC"/>
    <w:rsid w:val="2B4F2CEF"/>
    <w:rsid w:val="2B594437"/>
    <w:rsid w:val="2B7E174D"/>
    <w:rsid w:val="2BBC1282"/>
    <w:rsid w:val="2BBD3D50"/>
    <w:rsid w:val="2C723060"/>
    <w:rsid w:val="2CF35149"/>
    <w:rsid w:val="2DC8218D"/>
    <w:rsid w:val="2DDE5462"/>
    <w:rsid w:val="2E102ABB"/>
    <w:rsid w:val="2E63008F"/>
    <w:rsid w:val="2E8157DC"/>
    <w:rsid w:val="2F5659F3"/>
    <w:rsid w:val="2FB166B5"/>
    <w:rsid w:val="30191AD6"/>
    <w:rsid w:val="30FB7E9E"/>
    <w:rsid w:val="317D3526"/>
    <w:rsid w:val="323325C4"/>
    <w:rsid w:val="328B017F"/>
    <w:rsid w:val="3292324B"/>
    <w:rsid w:val="329342B5"/>
    <w:rsid w:val="32C1268D"/>
    <w:rsid w:val="33B47D95"/>
    <w:rsid w:val="35006E33"/>
    <w:rsid w:val="35DB4C05"/>
    <w:rsid w:val="360B655D"/>
    <w:rsid w:val="36B7078B"/>
    <w:rsid w:val="36D901BE"/>
    <w:rsid w:val="36E36908"/>
    <w:rsid w:val="3794592A"/>
    <w:rsid w:val="38B05953"/>
    <w:rsid w:val="38B745E0"/>
    <w:rsid w:val="38EF77E6"/>
    <w:rsid w:val="393671C3"/>
    <w:rsid w:val="39932516"/>
    <w:rsid w:val="39D45C36"/>
    <w:rsid w:val="3A1640E8"/>
    <w:rsid w:val="3A8B6411"/>
    <w:rsid w:val="3B9D6276"/>
    <w:rsid w:val="3BA64AD4"/>
    <w:rsid w:val="3BA96372"/>
    <w:rsid w:val="3BFA37AC"/>
    <w:rsid w:val="3C533EEC"/>
    <w:rsid w:val="3C937993"/>
    <w:rsid w:val="3CD226F4"/>
    <w:rsid w:val="3CED2111"/>
    <w:rsid w:val="3D4663AF"/>
    <w:rsid w:val="3D774601"/>
    <w:rsid w:val="3D84553F"/>
    <w:rsid w:val="3E1A2C58"/>
    <w:rsid w:val="3E8576EC"/>
    <w:rsid w:val="3F703160"/>
    <w:rsid w:val="3FC91C02"/>
    <w:rsid w:val="407C7408"/>
    <w:rsid w:val="411E528A"/>
    <w:rsid w:val="41643AE0"/>
    <w:rsid w:val="41936CCC"/>
    <w:rsid w:val="419E4D6E"/>
    <w:rsid w:val="41BD651D"/>
    <w:rsid w:val="423934A4"/>
    <w:rsid w:val="42C159A0"/>
    <w:rsid w:val="435B4FED"/>
    <w:rsid w:val="435C1AAA"/>
    <w:rsid w:val="43923A02"/>
    <w:rsid w:val="43B17106"/>
    <w:rsid w:val="43C31F9B"/>
    <w:rsid w:val="44CC6C34"/>
    <w:rsid w:val="44FF23DB"/>
    <w:rsid w:val="45DB5113"/>
    <w:rsid w:val="45FA22EB"/>
    <w:rsid w:val="460B369C"/>
    <w:rsid w:val="468123C6"/>
    <w:rsid w:val="46986527"/>
    <w:rsid w:val="471F4DD5"/>
    <w:rsid w:val="48E65B64"/>
    <w:rsid w:val="490907D4"/>
    <w:rsid w:val="49153D98"/>
    <w:rsid w:val="4931425C"/>
    <w:rsid w:val="49575EE1"/>
    <w:rsid w:val="49974FAF"/>
    <w:rsid w:val="4A7E1328"/>
    <w:rsid w:val="4B623F21"/>
    <w:rsid w:val="4D7A092A"/>
    <w:rsid w:val="4E023D7D"/>
    <w:rsid w:val="4EBA0170"/>
    <w:rsid w:val="4EF56C95"/>
    <w:rsid w:val="4F195165"/>
    <w:rsid w:val="4F4D65D2"/>
    <w:rsid w:val="4FD65049"/>
    <w:rsid w:val="502363E5"/>
    <w:rsid w:val="50CB7074"/>
    <w:rsid w:val="511A355D"/>
    <w:rsid w:val="513762CB"/>
    <w:rsid w:val="51950AC2"/>
    <w:rsid w:val="51DB5939"/>
    <w:rsid w:val="52BF385E"/>
    <w:rsid w:val="53AB2F4B"/>
    <w:rsid w:val="53C36CCF"/>
    <w:rsid w:val="53E94A32"/>
    <w:rsid w:val="540A7EED"/>
    <w:rsid w:val="55684AE1"/>
    <w:rsid w:val="55B5596C"/>
    <w:rsid w:val="560C71D7"/>
    <w:rsid w:val="56D145E5"/>
    <w:rsid w:val="57003156"/>
    <w:rsid w:val="58885FE0"/>
    <w:rsid w:val="58A67D48"/>
    <w:rsid w:val="59A61C5F"/>
    <w:rsid w:val="59D75EB0"/>
    <w:rsid w:val="5A2F5580"/>
    <w:rsid w:val="5A493582"/>
    <w:rsid w:val="5A7E7600"/>
    <w:rsid w:val="5BB61575"/>
    <w:rsid w:val="5C001082"/>
    <w:rsid w:val="5D1024FF"/>
    <w:rsid w:val="5DBD70E7"/>
    <w:rsid w:val="5EA6596C"/>
    <w:rsid w:val="5ED65EE2"/>
    <w:rsid w:val="6066691B"/>
    <w:rsid w:val="61F31C9B"/>
    <w:rsid w:val="620F48D2"/>
    <w:rsid w:val="62146F60"/>
    <w:rsid w:val="637B3DE7"/>
    <w:rsid w:val="63934138"/>
    <w:rsid w:val="63DB63D1"/>
    <w:rsid w:val="644416B3"/>
    <w:rsid w:val="64B52A50"/>
    <w:rsid w:val="65E158A6"/>
    <w:rsid w:val="662B0176"/>
    <w:rsid w:val="67D068B1"/>
    <w:rsid w:val="683A1F7D"/>
    <w:rsid w:val="68E06C2C"/>
    <w:rsid w:val="68FD23E4"/>
    <w:rsid w:val="69B42AF7"/>
    <w:rsid w:val="69E41B3B"/>
    <w:rsid w:val="69F04FE9"/>
    <w:rsid w:val="6B4E5B09"/>
    <w:rsid w:val="6BBB0CC6"/>
    <w:rsid w:val="6BD42C0D"/>
    <w:rsid w:val="6C4838F4"/>
    <w:rsid w:val="6D3179D4"/>
    <w:rsid w:val="6D521B17"/>
    <w:rsid w:val="6D6B12D3"/>
    <w:rsid w:val="6E4E616A"/>
    <w:rsid w:val="6E582E85"/>
    <w:rsid w:val="6EB1235D"/>
    <w:rsid w:val="6F520277"/>
    <w:rsid w:val="6F9B6713"/>
    <w:rsid w:val="6FCB75A0"/>
    <w:rsid w:val="70965848"/>
    <w:rsid w:val="70BF5C7A"/>
    <w:rsid w:val="70DF1AC2"/>
    <w:rsid w:val="71A275AC"/>
    <w:rsid w:val="71DC40A5"/>
    <w:rsid w:val="7238174C"/>
    <w:rsid w:val="729A42C4"/>
    <w:rsid w:val="72A911B4"/>
    <w:rsid w:val="72C07522"/>
    <w:rsid w:val="731E7004"/>
    <w:rsid w:val="73247AB1"/>
    <w:rsid w:val="73535858"/>
    <w:rsid w:val="73B97203"/>
    <w:rsid w:val="73BD7DF0"/>
    <w:rsid w:val="73FC5234"/>
    <w:rsid w:val="743215EF"/>
    <w:rsid w:val="75CD0D5C"/>
    <w:rsid w:val="764E0276"/>
    <w:rsid w:val="7807665E"/>
    <w:rsid w:val="7A016EB6"/>
    <w:rsid w:val="7B7754C9"/>
    <w:rsid w:val="7BD22F4F"/>
    <w:rsid w:val="7C26177D"/>
    <w:rsid w:val="7C8E374D"/>
    <w:rsid w:val="7D01208A"/>
    <w:rsid w:val="7DC56017"/>
    <w:rsid w:val="7DCB5EDE"/>
    <w:rsid w:val="7EC873B0"/>
    <w:rsid w:val="7F604567"/>
    <w:rsid w:val="7F89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qFormat/>
    <w:uiPriority w:val="0"/>
    <w:pPr>
      <w:autoSpaceDE w:val="0"/>
      <w:autoSpaceDN w:val="0"/>
      <w:adjustRightInd w:val="0"/>
    </w:pPr>
    <w:rPr>
      <w:rFonts w:ascii="宋体" w:hAnsi="Tms Rmn" w:cs="宋体"/>
      <w:szCs w:val="22"/>
    </w:rPr>
  </w:style>
  <w:style w:type="paragraph" w:styleId="8">
    <w:name w:val="Date"/>
    <w:basedOn w:val="1"/>
    <w:next w:val="1"/>
    <w:semiHidden/>
    <w:unhideWhenUsed/>
    <w:qFormat/>
    <w:uiPriority w:val="99"/>
    <w:pPr>
      <w:ind w:left="100" w:leftChars="2500"/>
    </w:pPr>
  </w:style>
  <w:style w:type="paragraph" w:styleId="9">
    <w:name w:val="Balloon Text"/>
    <w:basedOn w:val="1"/>
    <w:link w:val="29"/>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table of figures"/>
    <w:basedOn w:val="1"/>
    <w:next w:val="1"/>
    <w:unhideWhenUsed/>
    <w:qFormat/>
    <w:uiPriority w:val="99"/>
    <w:pPr>
      <w:ind w:left="200" w:leftChars="200" w:hanging="200" w:hangingChars="200"/>
    </w:p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5"/>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页眉 字符"/>
    <w:basedOn w:val="18"/>
    <w:link w:val="11"/>
    <w:qFormat/>
    <w:uiPriority w:val="99"/>
    <w:rPr>
      <w:sz w:val="18"/>
      <w:szCs w:val="18"/>
    </w:rPr>
  </w:style>
  <w:style w:type="character" w:customStyle="1" w:styleId="24">
    <w:name w:val="页脚 字符"/>
    <w:basedOn w:val="18"/>
    <w:link w:val="10"/>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9"/>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paragraph" w:customStyle="1" w:styleId="32">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6307</Words>
  <Characters>6597</Characters>
  <Lines>26</Lines>
  <Paragraphs>7</Paragraphs>
  <TotalTime>21</TotalTime>
  <ScaleCrop>false</ScaleCrop>
  <LinksUpToDate>false</LinksUpToDate>
  <CharactersWithSpaces>6797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2023-11-27T03:12:00Z</cp:lastPrinted>
  <dcterms:modified xsi:type="dcterms:W3CDTF">2023-11-27T09:16:39Z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3C386096F1F240669337042CCB2A8702_13</vt:lpwstr>
  </property>
  <property fmtid="{D5CDD505-2E9C-101B-9397-08002B2CF9AE}" pid="4" name="commondata">
    <vt:lpwstr>eyJoZGlkIjoiNGFhNjBkNjkwYzVkMGJlYjhkODdmZTMyNDY5NTA5YWUifQ==</vt:lpwstr>
  </property>
</Properties>
</file>