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</w:pPr>
      <w:bookmarkStart w:id="2" w:name="_GoBack"/>
      <w:bookmarkEnd w:id="2"/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附件三：</w:t>
      </w:r>
      <w:r>
        <w:rPr>
          <w:rFonts w:hint="eastAsia" w:ascii="华文中宋" w:hAnsi="华文中宋" w:eastAsia="华文中宋"/>
          <w:b/>
          <w:color w:val="000000" w:themeColor="text1"/>
          <w:sz w:val="32"/>
          <w:szCs w:val="22"/>
          <w:highlight w:val="none"/>
          <w14:textFill>
            <w14:solidFill>
              <w14:schemeClr w14:val="tx1"/>
            </w14:solidFill>
          </w14:textFill>
        </w:rPr>
        <w:t>综合评分明细表</w:t>
      </w:r>
    </w:p>
    <w:tbl>
      <w:tblPr>
        <w:tblStyle w:val="16"/>
        <w:tblW w:w="88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279"/>
        <w:gridCol w:w="709"/>
        <w:gridCol w:w="5323"/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序号</w:t>
            </w:r>
          </w:p>
        </w:tc>
        <w:tc>
          <w:tcPr>
            <w:tcW w:w="127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评分因素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及权重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分值</w:t>
            </w:r>
          </w:p>
        </w:tc>
        <w:tc>
          <w:tcPr>
            <w:tcW w:w="532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评分标准</w:t>
            </w:r>
          </w:p>
        </w:tc>
        <w:tc>
          <w:tcPr>
            <w:tcW w:w="93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1</w:t>
            </w:r>
          </w:p>
        </w:tc>
        <w:tc>
          <w:tcPr>
            <w:tcW w:w="127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报价10%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（主要评分因素）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10分</w:t>
            </w:r>
          </w:p>
        </w:tc>
        <w:tc>
          <w:tcPr>
            <w:tcW w:w="5323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满足招标文件要求且投标价格最低的报价为基准价，其价格分为满分。其他投标人的价格分统一按照下列公式计算：报价得分=(基准价／报价)*10%*100。</w:t>
            </w:r>
          </w:p>
        </w:tc>
        <w:tc>
          <w:tcPr>
            <w:tcW w:w="93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共同评分因素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2</w:t>
            </w:r>
          </w:p>
        </w:tc>
        <w:tc>
          <w:tcPr>
            <w:tcW w:w="127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技术服务要求</w:t>
            </w:r>
            <w:r>
              <w:rPr>
                <w:rFonts w:ascii="仿宋" w:hAnsi="仿宋" w:eastAsia="仿宋" w:cs="仿宋"/>
                <w:szCs w:val="21"/>
                <w:highlight w:val="none"/>
              </w:rPr>
              <w:t>4</w:t>
            </w: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%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（主要评分因素）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46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分</w:t>
            </w:r>
          </w:p>
        </w:tc>
        <w:tc>
          <w:tcPr>
            <w:tcW w:w="5323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1、投标人针对招标文件“软件具体要求”中一般技术服务要求条款（未标注“▲”条款）的响应得分规则如下：</w:t>
            </w:r>
          </w:p>
          <w:p>
            <w:pPr>
              <w:spacing w:line="360" w:lineRule="auto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一般技术服务要求条款响应得分=（投标人满足一般技术服务要求条款的数量÷一般技术服务要求条款的总数量×</w:t>
            </w:r>
            <w:r>
              <w:rPr>
                <w:rFonts w:ascii="仿宋" w:hAnsi="仿宋" w:eastAsia="仿宋" w:cs="仿宋"/>
                <w:szCs w:val="21"/>
                <w:highlight w:val="none"/>
              </w:rPr>
              <w:t>25分。</w:t>
            </w:r>
            <w:r>
              <w:rPr>
                <w:rFonts w:hint="eastAsia" w:ascii="仿宋" w:hAnsi="仿宋" w:eastAsia="仿宋" w:cs="仿宋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一般技术服务要求条款的总数量</w:t>
            </w:r>
            <w:r>
              <w:rPr>
                <w:rFonts w:hint="eastAsia" w:ascii="仿宋" w:hAnsi="仿宋" w:eastAsia="仿宋" w:cs="仿宋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25条</w:t>
            </w:r>
            <w:r>
              <w:rPr>
                <w:rFonts w:hint="eastAsia" w:ascii="仿宋" w:hAnsi="仿宋" w:eastAsia="仿宋" w:cs="仿宋"/>
                <w:szCs w:val="21"/>
                <w:highlight w:val="none"/>
                <w:lang w:eastAsia="zh-CN"/>
              </w:rPr>
              <w:t>）</w:t>
            </w:r>
          </w:p>
          <w:p>
            <w:pPr>
              <w:spacing w:line="360" w:lineRule="auto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2、投标人针对招标文件“软件具体要求”中“▲”技术服务要求条款的响应得分规则如下：</w:t>
            </w:r>
          </w:p>
          <w:p>
            <w:pPr>
              <w:spacing w:line="360" w:lineRule="auto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“▲”技术服务要求条款响应得分=（投标人满足“▲”技术服务要求条款的数量÷“▲”技术服务要求条款的总数量×</w:t>
            </w:r>
            <w:r>
              <w:rPr>
                <w:rFonts w:ascii="仿宋" w:hAnsi="仿宋" w:eastAsia="仿宋" w:cs="仿宋"/>
                <w:szCs w:val="21"/>
                <w:highlight w:val="none"/>
              </w:rPr>
              <w:t>2</w:t>
            </w: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ascii="仿宋" w:hAnsi="仿宋" w:eastAsia="仿宋" w:cs="仿宋"/>
                <w:szCs w:val="21"/>
                <w:highlight w:val="none"/>
              </w:rPr>
              <w:t>分。</w:t>
            </w:r>
            <w:r>
              <w:rPr>
                <w:rFonts w:hint="eastAsia" w:ascii="仿宋" w:hAnsi="仿宋" w:eastAsia="仿宋" w:cs="仿宋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“▲”技术服务要求条款的总数量</w:t>
            </w:r>
            <w:r>
              <w:rPr>
                <w:rFonts w:hint="eastAsia" w:ascii="仿宋" w:hAnsi="仿宋" w:eastAsia="仿宋" w:cs="仿宋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3条</w:t>
            </w:r>
            <w:r>
              <w:rPr>
                <w:rFonts w:hint="eastAsia" w:ascii="仿宋" w:hAnsi="仿宋" w:eastAsia="仿宋" w:cs="仿宋"/>
                <w:szCs w:val="21"/>
                <w:highlight w:val="none"/>
                <w:lang w:eastAsia="zh-CN"/>
              </w:rPr>
              <w:t>）</w:t>
            </w:r>
          </w:p>
          <w:p>
            <w:pPr>
              <w:spacing w:line="360" w:lineRule="auto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注：</w:t>
            </w:r>
          </w:p>
          <w:p>
            <w:pPr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①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以本文件 “软件具体要求”中一级序号数字（如 “</w:t>
            </w: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1.1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”“</w:t>
            </w: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1.2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”“</w:t>
            </w: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1.3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”……）为一项（标题除外）。</w:t>
            </w:r>
          </w:p>
          <w:p>
            <w:pPr>
              <w:spacing w:line="360" w:lineRule="auto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②针对“▲”技术服务要求条款需提供承诺函，否则视为不满足。</w:t>
            </w:r>
          </w:p>
        </w:tc>
        <w:tc>
          <w:tcPr>
            <w:tcW w:w="93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技术类评分因素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3</w:t>
            </w:r>
          </w:p>
        </w:tc>
        <w:tc>
          <w:tcPr>
            <w:tcW w:w="127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项目实施方案</w:t>
            </w: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%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分</w:t>
            </w:r>
          </w:p>
        </w:tc>
        <w:tc>
          <w:tcPr>
            <w:tcW w:w="5323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根据投标人提供的项目实施方案进行评审，该方案应包含：①项目实施管理计划、②项目需求分析、③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功能设计方案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、④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接口设计方案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、⑤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架构设计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、⑥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运行安全保障方案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 xml:space="preserve"> 、⑦运行维护保障方案、⑧进度保障方案、⑨</w:t>
            </w:r>
            <w:r>
              <w:rPr>
                <w:rFonts w:hint="eastAsia" w:ascii="仿宋" w:hAnsi="仿宋" w:eastAsia="仿宋" w:cs="仿宋"/>
                <w:szCs w:val="21"/>
                <w:highlight w:val="none"/>
                <w:lang w:bidi="ar"/>
              </w:rPr>
              <w:t>项目风险分析及对策、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⑩项目质量管理方案。完整提供上述10项内容的得</w:t>
            </w: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分；每有一项未提供扣</w:t>
            </w: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分，扣完为止；每有一处有缺陷扣</w:t>
            </w: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1.5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分，扣完为止。</w:t>
            </w:r>
          </w:p>
          <w:p>
            <w:pPr>
              <w:spacing w:line="360" w:lineRule="auto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（缺陷是指：存在不适用项目实际情况的情形、凭空编造、套用其他项目方案、内容前后不一致、前后逻辑错误、涉及的规范及标准错误、地点区域错误、内容缺失、不符合采购需求、不可能实现的情形等任意一种情形）</w:t>
            </w:r>
          </w:p>
        </w:tc>
        <w:tc>
          <w:tcPr>
            <w:tcW w:w="93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技术类评分因素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4</w:t>
            </w:r>
          </w:p>
        </w:tc>
        <w:tc>
          <w:tcPr>
            <w:tcW w:w="127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售后服务方案</w:t>
            </w:r>
            <w:r>
              <w:rPr>
                <w:rFonts w:ascii="仿宋" w:hAnsi="仿宋" w:eastAsia="仿宋" w:cs="仿宋"/>
                <w:szCs w:val="21"/>
                <w:highlight w:val="none"/>
              </w:rPr>
              <w:t>10%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" w:hAnsi="仿宋" w:eastAsia="仿宋" w:cs="仿宋"/>
                <w:szCs w:val="21"/>
                <w:highlight w:val="none"/>
              </w:rPr>
              <w:t>10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分</w:t>
            </w:r>
          </w:p>
        </w:tc>
        <w:tc>
          <w:tcPr>
            <w:tcW w:w="5323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根据投标人提供的售后服务方案进行评审，该方案应包含：①售后承诺及售后响应保障、②售后服务措施、③系统维护方案、④应急故障处理措施。完整提供上述4项内容的得</w:t>
            </w:r>
            <w:r>
              <w:rPr>
                <w:rFonts w:ascii="仿宋" w:hAnsi="仿宋" w:eastAsia="仿宋" w:cs="仿宋"/>
                <w:szCs w:val="21"/>
                <w:highlight w:val="none"/>
              </w:rPr>
              <w:t>10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分；每有一项未提供扣</w:t>
            </w:r>
            <w:r>
              <w:rPr>
                <w:rFonts w:ascii="仿宋" w:hAnsi="仿宋" w:eastAsia="仿宋" w:cs="仿宋"/>
                <w:szCs w:val="21"/>
                <w:highlight w:val="none"/>
              </w:rPr>
              <w:t>2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.5分，扣完为止；每有一处有缺陷扣</w:t>
            </w:r>
            <w:r>
              <w:rPr>
                <w:rFonts w:ascii="仿宋" w:hAnsi="仿宋" w:eastAsia="仿宋" w:cs="仿宋"/>
                <w:szCs w:val="21"/>
                <w:highlight w:val="none"/>
              </w:rPr>
              <w:t>1.25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分，扣完为止。</w:t>
            </w:r>
          </w:p>
          <w:p>
            <w:pPr>
              <w:spacing w:line="360" w:lineRule="auto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（缺陷是指：存在不适用项目实际情况的情形、凭空编造、套用其他项目方案、内容前后不一致、前后逻辑错误、涉及的规范及标准错误、地点区域错误、内容缺失、不符合采购需求、不可能实现的情形等任意一种情形）</w:t>
            </w:r>
          </w:p>
        </w:tc>
        <w:tc>
          <w:tcPr>
            <w:tcW w:w="93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共同评分因素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5</w:t>
            </w:r>
          </w:p>
        </w:tc>
        <w:tc>
          <w:tcPr>
            <w:tcW w:w="127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" w:hAnsi="仿宋" w:eastAsia="仿宋" w:cs="仿宋"/>
                <w:szCs w:val="21"/>
                <w:highlight w:val="none"/>
              </w:rPr>
              <w:t>培训方案</w:t>
            </w: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ascii="仿宋" w:hAnsi="仿宋" w:eastAsia="仿宋" w:cs="仿宋"/>
                <w:szCs w:val="21"/>
                <w:highlight w:val="none"/>
              </w:rPr>
              <w:t>%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分</w:t>
            </w:r>
          </w:p>
        </w:tc>
        <w:tc>
          <w:tcPr>
            <w:tcW w:w="5323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根据投标人提供的培训方案进行评审，该方案应包含：①</w:t>
            </w:r>
            <w:r>
              <w:rPr>
                <w:rFonts w:ascii="仿宋" w:hAnsi="仿宋" w:eastAsia="仿宋" w:cs="仿宋"/>
                <w:szCs w:val="21"/>
                <w:highlight w:val="none"/>
              </w:rPr>
              <w:t>培训对象及内容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、②</w:t>
            </w:r>
            <w:r>
              <w:rPr>
                <w:rFonts w:ascii="仿宋" w:hAnsi="仿宋" w:eastAsia="仿宋" w:cs="仿宋"/>
                <w:szCs w:val="21"/>
                <w:highlight w:val="none"/>
              </w:rPr>
              <w:t>培训课程安排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、③</w:t>
            </w:r>
            <w:r>
              <w:rPr>
                <w:rFonts w:ascii="仿宋" w:hAnsi="仿宋" w:eastAsia="仿宋" w:cs="仿宋"/>
                <w:szCs w:val="21"/>
                <w:highlight w:val="none"/>
              </w:rPr>
              <w:t>培训实施计划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、④</w:t>
            </w:r>
            <w:r>
              <w:rPr>
                <w:rFonts w:ascii="仿宋" w:hAnsi="仿宋" w:eastAsia="仿宋" w:cs="仿宋"/>
                <w:szCs w:val="21"/>
                <w:highlight w:val="none"/>
              </w:rPr>
              <w:t>安全应急事件处置培训计划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。完整提供上述4项内容的得</w:t>
            </w: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分；每有一项未提供扣</w:t>
            </w: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分，扣完为止；每有一处有缺陷扣</w:t>
            </w: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0.5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分，扣完为止。</w:t>
            </w:r>
          </w:p>
          <w:p>
            <w:pPr>
              <w:spacing w:line="360" w:lineRule="auto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（缺陷是指：存在不适用项目实际情况的情形、凭空编造、套用其他项目方案、内容前后不一致、前后逻辑错误、涉及的规范及标准错误、地点区域错误、内容缺失、不符合采购需求、不可能实现的情形等任意一种情形）</w:t>
            </w:r>
          </w:p>
        </w:tc>
        <w:tc>
          <w:tcPr>
            <w:tcW w:w="93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共同评分因素</w:t>
            </w:r>
          </w:p>
        </w:tc>
      </w:tr>
    </w:tbl>
    <w:p>
      <w:pPr>
        <w:pStyle w:val="5"/>
        <w:widowControl w:val="0"/>
        <w:numPr>
          <w:ilvl w:val="0"/>
          <w:numId w:val="0"/>
        </w:numPr>
        <w:spacing w:after="120"/>
        <w:jc w:val="both"/>
        <w:rPr>
          <w:rFonts w:hint="eastAsia" w:ascii="仿宋" w:hAnsi="仿宋" w:eastAsia="仿宋" w:cs="仿宋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850" w:right="1800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>
                              <w:pPr>
                                <w:pStyle w:val="10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>
                        <w:pPr>
                          <w:pStyle w:val="10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  <w:p>
    <w:pPr>
      <w:pStyle w:val="1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2D51"/>
    <w:rsid w:val="001B1C6A"/>
    <w:rsid w:val="001B3AAF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550AC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793"/>
    <w:rsid w:val="00B0488C"/>
    <w:rsid w:val="00B06CA9"/>
    <w:rsid w:val="00B12D10"/>
    <w:rsid w:val="00B140BC"/>
    <w:rsid w:val="00B21A3D"/>
    <w:rsid w:val="00B25892"/>
    <w:rsid w:val="00B33735"/>
    <w:rsid w:val="00B6313B"/>
    <w:rsid w:val="00B7786F"/>
    <w:rsid w:val="00B77C92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5820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10827C0"/>
    <w:rsid w:val="01261D95"/>
    <w:rsid w:val="0127533C"/>
    <w:rsid w:val="01AF66BC"/>
    <w:rsid w:val="022C5D48"/>
    <w:rsid w:val="02967325"/>
    <w:rsid w:val="02DA5839"/>
    <w:rsid w:val="0343669F"/>
    <w:rsid w:val="03D1158F"/>
    <w:rsid w:val="04557B19"/>
    <w:rsid w:val="049912AC"/>
    <w:rsid w:val="04C61298"/>
    <w:rsid w:val="04D550AF"/>
    <w:rsid w:val="05A83606"/>
    <w:rsid w:val="05B9677F"/>
    <w:rsid w:val="05F62118"/>
    <w:rsid w:val="06380241"/>
    <w:rsid w:val="069F560A"/>
    <w:rsid w:val="076404CB"/>
    <w:rsid w:val="07973EE6"/>
    <w:rsid w:val="07C94BE1"/>
    <w:rsid w:val="07DE6769"/>
    <w:rsid w:val="07E00A0F"/>
    <w:rsid w:val="087F78BA"/>
    <w:rsid w:val="091D0DD3"/>
    <w:rsid w:val="093F0D49"/>
    <w:rsid w:val="095A6A56"/>
    <w:rsid w:val="09CA2C87"/>
    <w:rsid w:val="09E54036"/>
    <w:rsid w:val="0A325ADB"/>
    <w:rsid w:val="0B216CF4"/>
    <w:rsid w:val="0B353F6E"/>
    <w:rsid w:val="0B555D80"/>
    <w:rsid w:val="0B6E5916"/>
    <w:rsid w:val="0C580A4E"/>
    <w:rsid w:val="0D4B4161"/>
    <w:rsid w:val="0E237614"/>
    <w:rsid w:val="0E813BB2"/>
    <w:rsid w:val="0EF652A0"/>
    <w:rsid w:val="0F26150C"/>
    <w:rsid w:val="0F3436E0"/>
    <w:rsid w:val="0F6D5B99"/>
    <w:rsid w:val="0F7B4AA5"/>
    <w:rsid w:val="0FAA6A76"/>
    <w:rsid w:val="0FEE4D13"/>
    <w:rsid w:val="1061346A"/>
    <w:rsid w:val="10AD0C8E"/>
    <w:rsid w:val="12064B5C"/>
    <w:rsid w:val="12100E62"/>
    <w:rsid w:val="12542DDE"/>
    <w:rsid w:val="137B38DC"/>
    <w:rsid w:val="13E946D3"/>
    <w:rsid w:val="146B53DF"/>
    <w:rsid w:val="1658169C"/>
    <w:rsid w:val="16734728"/>
    <w:rsid w:val="16AC0EAA"/>
    <w:rsid w:val="16D20FE6"/>
    <w:rsid w:val="17373CEB"/>
    <w:rsid w:val="17500414"/>
    <w:rsid w:val="17546308"/>
    <w:rsid w:val="177D1B56"/>
    <w:rsid w:val="182425DC"/>
    <w:rsid w:val="182F4CA9"/>
    <w:rsid w:val="188C4A43"/>
    <w:rsid w:val="19232435"/>
    <w:rsid w:val="195C3707"/>
    <w:rsid w:val="19D76D7C"/>
    <w:rsid w:val="1AFC6A9A"/>
    <w:rsid w:val="1B040AF0"/>
    <w:rsid w:val="1B7F6894"/>
    <w:rsid w:val="1B811C08"/>
    <w:rsid w:val="1C2269D4"/>
    <w:rsid w:val="1CFD541C"/>
    <w:rsid w:val="1D957C82"/>
    <w:rsid w:val="1DD80BF7"/>
    <w:rsid w:val="1E8B6382"/>
    <w:rsid w:val="1E9268BE"/>
    <w:rsid w:val="1EFB394F"/>
    <w:rsid w:val="1F953961"/>
    <w:rsid w:val="20F56432"/>
    <w:rsid w:val="21012DCF"/>
    <w:rsid w:val="21556F04"/>
    <w:rsid w:val="22246CB4"/>
    <w:rsid w:val="23A41382"/>
    <w:rsid w:val="23C96556"/>
    <w:rsid w:val="23D504F4"/>
    <w:rsid w:val="23E24D51"/>
    <w:rsid w:val="23FC3FAF"/>
    <w:rsid w:val="246F59E3"/>
    <w:rsid w:val="24DA7466"/>
    <w:rsid w:val="256746D6"/>
    <w:rsid w:val="25777D91"/>
    <w:rsid w:val="26B72586"/>
    <w:rsid w:val="26F72605"/>
    <w:rsid w:val="27057ABC"/>
    <w:rsid w:val="27807BE0"/>
    <w:rsid w:val="288C0FF6"/>
    <w:rsid w:val="29DA40B8"/>
    <w:rsid w:val="29FD5AAD"/>
    <w:rsid w:val="2AC140BC"/>
    <w:rsid w:val="2B4F2CEF"/>
    <w:rsid w:val="2B594437"/>
    <w:rsid w:val="2B7E174D"/>
    <w:rsid w:val="2BBC1282"/>
    <w:rsid w:val="2BBD3D50"/>
    <w:rsid w:val="2C723060"/>
    <w:rsid w:val="2CF35149"/>
    <w:rsid w:val="2DC8218D"/>
    <w:rsid w:val="2DDE5462"/>
    <w:rsid w:val="2E102ABB"/>
    <w:rsid w:val="2E63008F"/>
    <w:rsid w:val="2E8157DC"/>
    <w:rsid w:val="2F5659F3"/>
    <w:rsid w:val="2FB166B5"/>
    <w:rsid w:val="30191AD6"/>
    <w:rsid w:val="30FB7E9E"/>
    <w:rsid w:val="317D3526"/>
    <w:rsid w:val="323325C4"/>
    <w:rsid w:val="328B017F"/>
    <w:rsid w:val="3292324B"/>
    <w:rsid w:val="329342B5"/>
    <w:rsid w:val="32C1268D"/>
    <w:rsid w:val="33B47D95"/>
    <w:rsid w:val="35006E33"/>
    <w:rsid w:val="35DB4C05"/>
    <w:rsid w:val="360B655D"/>
    <w:rsid w:val="36B7078B"/>
    <w:rsid w:val="36D901BE"/>
    <w:rsid w:val="36E36908"/>
    <w:rsid w:val="3794592A"/>
    <w:rsid w:val="38B05953"/>
    <w:rsid w:val="38B745E0"/>
    <w:rsid w:val="38EF77E6"/>
    <w:rsid w:val="393671C3"/>
    <w:rsid w:val="39932516"/>
    <w:rsid w:val="39D45C36"/>
    <w:rsid w:val="3A1640E8"/>
    <w:rsid w:val="3A8B6411"/>
    <w:rsid w:val="3B9D6276"/>
    <w:rsid w:val="3BA64AD4"/>
    <w:rsid w:val="3BA96372"/>
    <w:rsid w:val="3BFA37AC"/>
    <w:rsid w:val="3C533EEC"/>
    <w:rsid w:val="3C937993"/>
    <w:rsid w:val="3CD226F4"/>
    <w:rsid w:val="3CED2111"/>
    <w:rsid w:val="3D4663AF"/>
    <w:rsid w:val="3D774601"/>
    <w:rsid w:val="3D84553F"/>
    <w:rsid w:val="3E1A2C58"/>
    <w:rsid w:val="3E8576EC"/>
    <w:rsid w:val="3F703160"/>
    <w:rsid w:val="3FC91C02"/>
    <w:rsid w:val="407C7408"/>
    <w:rsid w:val="411E528A"/>
    <w:rsid w:val="41643AE0"/>
    <w:rsid w:val="41936CCC"/>
    <w:rsid w:val="419E4D6E"/>
    <w:rsid w:val="41BD651D"/>
    <w:rsid w:val="423934A4"/>
    <w:rsid w:val="42C159A0"/>
    <w:rsid w:val="435B4FED"/>
    <w:rsid w:val="435C1AAA"/>
    <w:rsid w:val="43923A02"/>
    <w:rsid w:val="43B17106"/>
    <w:rsid w:val="43C31F9B"/>
    <w:rsid w:val="44CC6C34"/>
    <w:rsid w:val="44FF23DB"/>
    <w:rsid w:val="45DB5113"/>
    <w:rsid w:val="45FA22EB"/>
    <w:rsid w:val="460B369C"/>
    <w:rsid w:val="468123C6"/>
    <w:rsid w:val="46986527"/>
    <w:rsid w:val="471F4DD5"/>
    <w:rsid w:val="48E65B64"/>
    <w:rsid w:val="490907D4"/>
    <w:rsid w:val="49153D98"/>
    <w:rsid w:val="4931425C"/>
    <w:rsid w:val="49575EE1"/>
    <w:rsid w:val="49974FAF"/>
    <w:rsid w:val="4A7E1328"/>
    <w:rsid w:val="4B623F21"/>
    <w:rsid w:val="4D7A092A"/>
    <w:rsid w:val="4E023D7D"/>
    <w:rsid w:val="4EBA0170"/>
    <w:rsid w:val="4EF56C95"/>
    <w:rsid w:val="4F195165"/>
    <w:rsid w:val="4F4D65D2"/>
    <w:rsid w:val="4FD65049"/>
    <w:rsid w:val="502363E5"/>
    <w:rsid w:val="50CB7074"/>
    <w:rsid w:val="511A355D"/>
    <w:rsid w:val="513762CB"/>
    <w:rsid w:val="51950AC2"/>
    <w:rsid w:val="51DB5939"/>
    <w:rsid w:val="52BF385E"/>
    <w:rsid w:val="53AB2F4B"/>
    <w:rsid w:val="53C36CCF"/>
    <w:rsid w:val="53E94A32"/>
    <w:rsid w:val="540A7EED"/>
    <w:rsid w:val="55684AE1"/>
    <w:rsid w:val="55B5596C"/>
    <w:rsid w:val="560C71D7"/>
    <w:rsid w:val="56D145E5"/>
    <w:rsid w:val="57003156"/>
    <w:rsid w:val="58885FE0"/>
    <w:rsid w:val="59A61C5F"/>
    <w:rsid w:val="59D75EB0"/>
    <w:rsid w:val="5A2F5580"/>
    <w:rsid w:val="5A493582"/>
    <w:rsid w:val="5A7E7600"/>
    <w:rsid w:val="5AD8420B"/>
    <w:rsid w:val="5BB61575"/>
    <w:rsid w:val="5C001082"/>
    <w:rsid w:val="5D1024FF"/>
    <w:rsid w:val="5DBD70E7"/>
    <w:rsid w:val="5EA6596C"/>
    <w:rsid w:val="5ED65EE2"/>
    <w:rsid w:val="6066691B"/>
    <w:rsid w:val="61F31C9B"/>
    <w:rsid w:val="620F48D2"/>
    <w:rsid w:val="62146F60"/>
    <w:rsid w:val="637B3DE7"/>
    <w:rsid w:val="63934138"/>
    <w:rsid w:val="63DB63D1"/>
    <w:rsid w:val="644416B3"/>
    <w:rsid w:val="64B52A50"/>
    <w:rsid w:val="65E158A6"/>
    <w:rsid w:val="662B0176"/>
    <w:rsid w:val="67D068B1"/>
    <w:rsid w:val="683A1F7D"/>
    <w:rsid w:val="68E06C2C"/>
    <w:rsid w:val="68FD23E4"/>
    <w:rsid w:val="69B42AF7"/>
    <w:rsid w:val="69E41B3B"/>
    <w:rsid w:val="69F04FE9"/>
    <w:rsid w:val="6B4E5B09"/>
    <w:rsid w:val="6BBB0CC6"/>
    <w:rsid w:val="6BD42C0D"/>
    <w:rsid w:val="6C4838F4"/>
    <w:rsid w:val="6D3179D4"/>
    <w:rsid w:val="6D521B17"/>
    <w:rsid w:val="6D6B12D3"/>
    <w:rsid w:val="6E4E616A"/>
    <w:rsid w:val="6E582E85"/>
    <w:rsid w:val="6EB1235D"/>
    <w:rsid w:val="6F520277"/>
    <w:rsid w:val="6F9B6713"/>
    <w:rsid w:val="6FCB75A0"/>
    <w:rsid w:val="70965848"/>
    <w:rsid w:val="70BF5C7A"/>
    <w:rsid w:val="70DF1AC2"/>
    <w:rsid w:val="71A275AC"/>
    <w:rsid w:val="71DC40A5"/>
    <w:rsid w:val="7238174C"/>
    <w:rsid w:val="729A42C4"/>
    <w:rsid w:val="72A911B4"/>
    <w:rsid w:val="72C07522"/>
    <w:rsid w:val="731E7004"/>
    <w:rsid w:val="73247AB1"/>
    <w:rsid w:val="73535858"/>
    <w:rsid w:val="73B97203"/>
    <w:rsid w:val="73BD7DF0"/>
    <w:rsid w:val="73FC5234"/>
    <w:rsid w:val="743215EF"/>
    <w:rsid w:val="75CD0D5C"/>
    <w:rsid w:val="764E0276"/>
    <w:rsid w:val="7807665E"/>
    <w:rsid w:val="7A016EB6"/>
    <w:rsid w:val="7B7754C9"/>
    <w:rsid w:val="7BD22F4F"/>
    <w:rsid w:val="7C26177D"/>
    <w:rsid w:val="7C8E374D"/>
    <w:rsid w:val="7D01208A"/>
    <w:rsid w:val="7DC56017"/>
    <w:rsid w:val="7DCB5EDE"/>
    <w:rsid w:val="7EC873B0"/>
    <w:rsid w:val="7F604567"/>
    <w:rsid w:val="7F89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next w:val="6"/>
    <w:qFormat/>
    <w:uiPriority w:val="0"/>
    <w:pPr>
      <w:spacing w:after="120"/>
    </w:pPr>
  </w:style>
  <w:style w:type="paragraph" w:styleId="6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7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 w:cs="宋体"/>
      <w:szCs w:val="22"/>
    </w:rPr>
  </w:style>
  <w:style w:type="paragraph" w:styleId="8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9">
    <w:name w:val="Balloon Text"/>
    <w:basedOn w:val="1"/>
    <w:link w:val="29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3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14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5">
    <w:name w:val="Body Text First Indent"/>
    <w:basedOn w:val="5"/>
    <w:qFormat/>
    <w:uiPriority w:val="99"/>
    <w:pPr>
      <w:ind w:firstLine="420" w:firstLineChars="100"/>
    </w:pPr>
  </w:style>
  <w:style w:type="table" w:styleId="17">
    <w:name w:val="Table Grid"/>
    <w:basedOn w:val="1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qFormat/>
    <w:uiPriority w:val="0"/>
  </w:style>
  <w:style w:type="character" w:styleId="20">
    <w:name w:val="Hyperlink"/>
    <w:basedOn w:val="1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1">
    <w:name w:val="annotation reference"/>
    <w:basedOn w:val="18"/>
    <w:semiHidden/>
    <w:unhideWhenUsed/>
    <w:qFormat/>
    <w:uiPriority w:val="99"/>
    <w:rPr>
      <w:sz w:val="21"/>
      <w:szCs w:val="21"/>
    </w:rPr>
  </w:style>
  <w:style w:type="paragraph" w:customStyle="1" w:styleId="2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23">
    <w:name w:val="页眉 字符"/>
    <w:basedOn w:val="18"/>
    <w:link w:val="11"/>
    <w:qFormat/>
    <w:uiPriority w:val="99"/>
    <w:rPr>
      <w:sz w:val="18"/>
      <w:szCs w:val="18"/>
    </w:rPr>
  </w:style>
  <w:style w:type="character" w:customStyle="1" w:styleId="24">
    <w:name w:val="页脚 字符"/>
    <w:basedOn w:val="18"/>
    <w:link w:val="10"/>
    <w:qFormat/>
    <w:uiPriority w:val="99"/>
    <w:rPr>
      <w:sz w:val="18"/>
      <w:szCs w:val="18"/>
    </w:rPr>
  </w:style>
  <w:style w:type="paragraph" w:styleId="25">
    <w:name w:val="List Paragraph"/>
    <w:basedOn w:val="1"/>
    <w:qFormat/>
    <w:uiPriority w:val="34"/>
    <w:pPr>
      <w:ind w:firstLine="420" w:firstLineChars="200"/>
    </w:pPr>
  </w:style>
  <w:style w:type="character" w:customStyle="1" w:styleId="26">
    <w:name w:val="标题 2 字符"/>
    <w:basedOn w:val="18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7">
    <w:name w:val="列出段落 Char"/>
    <w:link w:val="28"/>
    <w:qFormat/>
    <w:uiPriority w:val="34"/>
    <w:rPr>
      <w:rFonts w:ascii="宋体" w:hAnsi="宋体" w:cs="宋体"/>
      <w:sz w:val="24"/>
      <w:szCs w:val="24"/>
    </w:rPr>
  </w:style>
  <w:style w:type="paragraph" w:customStyle="1" w:styleId="28">
    <w:name w:val="列出段落1"/>
    <w:basedOn w:val="1"/>
    <w:link w:val="27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9">
    <w:name w:val="批注框文本 字符"/>
    <w:basedOn w:val="18"/>
    <w:link w:val="9"/>
    <w:semiHidden/>
    <w:qFormat/>
    <w:uiPriority w:val="99"/>
    <w:rPr>
      <w:sz w:val="18"/>
      <w:szCs w:val="18"/>
    </w:rPr>
  </w:style>
  <w:style w:type="character" w:customStyle="1" w:styleId="30">
    <w:name w:val="font11"/>
    <w:basedOn w:val="1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1">
    <w:name w:val="font0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32">
    <w:name w:val="正文首行缩进两字符"/>
    <w:basedOn w:val="1"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905DA4-CE3F-42EF-A16E-3EEC595B68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17</Pages>
  <Words>6307</Words>
  <Characters>6597</Characters>
  <Lines>26</Lines>
  <Paragraphs>7</Paragraphs>
  <TotalTime>21</TotalTime>
  <ScaleCrop>false</ScaleCrop>
  <LinksUpToDate>false</LinksUpToDate>
  <CharactersWithSpaces>6797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cs</cp:lastModifiedBy>
  <cp:lastPrinted>2023-11-27T03:12:00Z</cp:lastPrinted>
  <dcterms:modified xsi:type="dcterms:W3CDTF">2023-11-27T09:18:09Z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3C386096F1F240669337042CCB2A8702_13</vt:lpwstr>
  </property>
  <property fmtid="{D5CDD505-2E9C-101B-9397-08002B2CF9AE}" pid="4" name="commondata">
    <vt:lpwstr>eyJoZGlkIjoiNGFhNjBkNjkwYzVkMGJlYjhkODdmZTMyNDY5NTA5YWUifQ==</vt:lpwstr>
  </property>
</Properties>
</file>