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b/>
          <w:bCs/>
          <w:kern w:val="0"/>
          <w:sz w:val="32"/>
          <w:szCs w:val="32"/>
          <w:lang w:val="en-US" w:eastAsia="zh-CN" w:bidi="ar-SA"/>
        </w:rPr>
      </w:pPr>
      <w:bookmarkStart w:id="0" w:name="_Hlt101233737"/>
      <w:bookmarkEnd w:id="0"/>
      <w:bookmarkStart w:id="1" w:name="_Hlt101843627"/>
      <w:bookmarkEnd w:id="1"/>
      <w:r>
        <w:rPr>
          <w:rFonts w:hint="default" w:ascii="Times New Roman" w:hAnsi="Times New Roman" w:eastAsia="黑体" w:cs="Times New Roman"/>
          <w:b/>
          <w:bCs/>
          <w:kern w:val="0"/>
          <w:sz w:val="32"/>
          <w:szCs w:val="32"/>
          <w:lang w:val="en-US" w:eastAsia="zh-CN" w:bidi="ar-SA"/>
        </w:rPr>
        <w:t>附件一、项目需求</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带“★”条款为实质性条款，投标人必须按照招标文件的要求做出实质性响应，不允许负偏离，否则视为响应无效，正偏离按照评分规则综合进行加分</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outlineLvl w:val="2"/>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一、项目概况</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为落实全国创建“平安医院”工作要求，根据《医疗纠纷预防与处理办法》（中华人民共和国国务院令第701号）和《三级妇幼保健机构等级评审细则》相关规定，我院拟采购医疗责任险</w:t>
      </w:r>
      <w:r>
        <w:rPr>
          <w:rFonts w:hint="default" w:ascii="Times New Roman" w:hAnsi="Times New Roman" w:eastAsia="宋体" w:cs="Times New Roman"/>
          <w:color w:val="000000" w:themeColor="text1"/>
          <w:sz w:val="24"/>
          <w:szCs w:val="24"/>
          <w14:textFill>
            <w14:solidFill>
              <w14:schemeClr w14:val="tx1"/>
            </w14:solidFill>
          </w14:textFill>
        </w:rPr>
        <w:t>。</w:t>
      </w:r>
      <w:bookmarkStart w:id="2" w:name="_GoBack"/>
      <w:bookmarkEnd w:id="2"/>
    </w:p>
    <w:p>
      <w:pPr>
        <w:keepNext w:val="0"/>
        <w:keepLines w:val="0"/>
        <w:pageBreakBefore w:val="0"/>
        <w:widowControl w:val="0"/>
        <w:numPr>
          <w:ilvl w:val="0"/>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outlineLvl w:val="2"/>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二、</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总体要求</w:t>
      </w:r>
    </w:p>
    <w:p>
      <w:pPr>
        <w:pStyle w:val="25"/>
        <w:keepNext w:val="0"/>
        <w:keepLines w:val="0"/>
        <w:pageBreakBefore w:val="0"/>
        <w:widowControl w:val="0"/>
        <w:numPr>
          <w:ilvl w:val="0"/>
          <w:numId w:val="1"/>
        </w:numPr>
        <w:kinsoku/>
        <w:wordWrap/>
        <w:overflowPunct/>
        <w:topLinePunct w:val="0"/>
        <w:autoSpaceDE/>
        <w:autoSpaceDN/>
        <w:bidi w:val="0"/>
        <w:adjustRightInd/>
        <w:snapToGrid/>
        <w:spacing w:line="400" w:lineRule="exact"/>
        <w:ind w:leftChars="0" w:firstLine="482" w:firstLineChars="200"/>
        <w:jc w:val="left"/>
        <w:textAlignment w:val="auto"/>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项目限价：</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本项目最高限价2</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5</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万元</w:t>
      </w:r>
    </w:p>
    <w:p>
      <w:pPr>
        <w:pStyle w:val="25"/>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200"/>
        <w:jc w:val="left"/>
        <w:textAlignment w:val="auto"/>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微软雅黑" w:cs="Times New Roman"/>
          <w:sz w:val="24"/>
        </w:rPr>
        <w:t>★</w:t>
      </w:r>
      <w:r>
        <w:rPr>
          <w:rFonts w:hint="default" w:ascii="Times New Roman" w:hAnsi="Times New Roman" w:eastAsia="微软雅黑" w:cs="Times New Roman"/>
          <w:sz w:val="24"/>
          <w:lang w:eastAsia="zh-CN"/>
        </w:rPr>
        <w:t>（</w:t>
      </w:r>
      <w:r>
        <w:rPr>
          <w:rFonts w:hint="default" w:ascii="Times New Roman" w:hAnsi="Times New Roman" w:eastAsia="微软雅黑" w:cs="Times New Roman"/>
          <w:sz w:val="24"/>
          <w:lang w:val="en-US" w:eastAsia="zh-CN"/>
        </w:rPr>
        <w:t>二</w:t>
      </w:r>
      <w:r>
        <w:rPr>
          <w:rFonts w:hint="default" w:ascii="Times New Roman" w:hAnsi="Times New Roman" w:eastAsia="微软雅黑" w:cs="Times New Roman"/>
          <w:sz w:val="24"/>
          <w:lang w:eastAsia="zh-CN"/>
        </w:rPr>
        <w:t>）</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服务</w:t>
      </w:r>
      <w:r>
        <w:rPr>
          <w:rFonts w:hint="default" w:ascii="Times New Roman" w:hAnsi="Times New Roman" w:cs="Times New Roman"/>
          <w:b/>
          <w:bCs/>
          <w:color w:val="000000" w:themeColor="text1"/>
          <w:sz w:val="24"/>
          <w:szCs w:val="24"/>
          <w:lang w:val="en-US" w:eastAsia="zh-CN"/>
          <w14:textFill>
            <w14:solidFill>
              <w14:schemeClr w14:val="tx1"/>
            </w14:solidFill>
          </w14:textFill>
        </w:rPr>
        <w:t>内容</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要求：</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Times New Roman" w:hAnsi="Times New Roman" w:cs="Times New Roman"/>
          <w:sz w:val="24"/>
        </w:rPr>
      </w:pPr>
      <w:r>
        <w:rPr>
          <w:rFonts w:hint="default" w:ascii="Times New Roman" w:hAnsi="Times New Roman" w:cs="Times New Roman"/>
          <w:sz w:val="24"/>
        </w:rPr>
        <w:t>1</w:t>
      </w:r>
      <w:r>
        <w:rPr>
          <w:rFonts w:hint="default" w:ascii="Times New Roman" w:hAnsi="Times New Roman" w:cs="Times New Roman"/>
          <w:sz w:val="24"/>
          <w:lang w:eastAsia="zh-CN"/>
        </w:rPr>
        <w:t>.</w:t>
      </w:r>
      <w:r>
        <w:rPr>
          <w:rFonts w:hint="default" w:ascii="Times New Roman" w:hAnsi="Times New Roman" w:cs="Times New Roman"/>
          <w:sz w:val="24"/>
        </w:rPr>
        <w:t>在接到我院医疗纠纷险情报案后，第一时间了解医疗纠纷发生经过，并提出相应解决方案；</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Times New Roman" w:hAnsi="Times New Roman" w:cs="Times New Roman"/>
          <w:sz w:val="24"/>
        </w:rPr>
      </w:pPr>
      <w:r>
        <w:rPr>
          <w:rFonts w:hint="default" w:ascii="Times New Roman" w:hAnsi="Times New Roman" w:cs="Times New Roman"/>
          <w:sz w:val="24"/>
        </w:rPr>
        <w:t>2</w:t>
      </w:r>
      <w:r>
        <w:rPr>
          <w:rFonts w:hint="default" w:ascii="Times New Roman" w:hAnsi="Times New Roman" w:cs="Times New Roman"/>
          <w:sz w:val="24"/>
          <w:lang w:eastAsia="zh-CN"/>
        </w:rPr>
        <w:t>.</w:t>
      </w:r>
      <w:r>
        <w:rPr>
          <w:rFonts w:hint="default" w:ascii="Times New Roman" w:hAnsi="Times New Roman" w:cs="Times New Roman"/>
          <w:sz w:val="24"/>
        </w:rPr>
        <w:t>积极参与、配合我院的医疗纠纷调解；</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3</w:t>
      </w:r>
      <w:r>
        <w:rPr>
          <w:rFonts w:hint="default" w:ascii="Times New Roman" w:hAnsi="Times New Roman" w:cs="Times New Roman"/>
          <w:sz w:val="24"/>
          <w:lang w:eastAsia="zh-CN"/>
        </w:rPr>
        <w:t>.</w:t>
      </w:r>
      <w:r>
        <w:rPr>
          <w:rFonts w:hint="default" w:ascii="Times New Roman" w:hAnsi="Times New Roman" w:cs="Times New Roman"/>
          <w:sz w:val="24"/>
        </w:rPr>
        <w:t>及时开展赔付，收到我院理赔资料后15个工作日内理赔；</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Times New Roman" w:hAnsi="Times New Roman" w:cs="Times New Roman"/>
          <w:sz w:val="24"/>
        </w:rPr>
      </w:pPr>
      <w:r>
        <w:rPr>
          <w:rFonts w:hint="default" w:ascii="Times New Roman" w:hAnsi="Times New Roman" w:cs="Times New Roman"/>
          <w:sz w:val="24"/>
        </w:rPr>
        <w:t>4</w:t>
      </w:r>
      <w:r>
        <w:rPr>
          <w:rFonts w:hint="default" w:ascii="Times New Roman" w:hAnsi="Times New Roman" w:cs="Times New Roman"/>
          <w:sz w:val="24"/>
          <w:lang w:val="en-US" w:eastAsia="zh-CN"/>
        </w:rPr>
        <w:t>.</w:t>
      </w:r>
      <w:r>
        <w:rPr>
          <w:rFonts w:hint="default" w:ascii="Times New Roman" w:hAnsi="Times New Roman" w:cs="Times New Roman"/>
          <w:sz w:val="24"/>
        </w:rPr>
        <w:t>承保范围：</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Times New Roman" w:hAnsi="Times New Roman" w:cs="Times New Roman"/>
          <w:sz w:val="24"/>
        </w:rPr>
      </w:pPr>
      <w:r>
        <w:rPr>
          <w:rFonts w:hint="default" w:ascii="Times New Roman" w:hAnsi="Times New Roman" w:cs="Times New Roman"/>
          <w:sz w:val="24"/>
        </w:rPr>
        <w:t>4.1主险：医疗损害赔偿（含死亡赔偿金）</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Times New Roman" w:hAnsi="Times New Roman" w:cs="Times New Roman"/>
          <w:sz w:val="24"/>
        </w:rPr>
      </w:pPr>
      <w:r>
        <w:rPr>
          <w:rFonts w:hint="default" w:ascii="Times New Roman" w:hAnsi="Times New Roman" w:cs="Times New Roman"/>
          <w:sz w:val="24"/>
        </w:rPr>
        <w:t>（1）累计责任限额不低于100万元，单人单次责任限额不低于50万元，其中每案精神损失赔偿限额不低于15万元，全年累计限额不低于30万元。</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Times New Roman" w:hAnsi="Times New Roman" w:cs="Times New Roman"/>
          <w:sz w:val="24"/>
        </w:rPr>
      </w:pPr>
      <w:r>
        <w:rPr>
          <w:rFonts w:hint="default" w:ascii="Times New Roman" w:hAnsi="Times New Roman" w:cs="Times New Roman"/>
          <w:sz w:val="24"/>
        </w:rPr>
        <w:t>（2）法律费用赔偿：累计限额不低于</w:t>
      </w:r>
      <w:r>
        <w:rPr>
          <w:rFonts w:hint="default" w:ascii="Times New Roman" w:hAnsi="Times New Roman" w:cs="Times New Roman"/>
          <w:sz w:val="24"/>
          <w:lang w:val="en-US" w:eastAsia="zh-CN"/>
        </w:rPr>
        <w:t>10</w:t>
      </w:r>
      <w:r>
        <w:rPr>
          <w:rFonts w:hint="default" w:ascii="Times New Roman" w:hAnsi="Times New Roman" w:cs="Times New Roman"/>
          <w:sz w:val="24"/>
        </w:rPr>
        <w:t>万元，每案限额不低于</w:t>
      </w:r>
      <w:r>
        <w:rPr>
          <w:rFonts w:hint="default" w:ascii="Times New Roman" w:hAnsi="Times New Roman" w:cs="Times New Roman"/>
          <w:sz w:val="24"/>
          <w:lang w:val="en-US" w:eastAsia="zh-CN"/>
        </w:rPr>
        <w:t>5</w:t>
      </w:r>
      <w:r>
        <w:rPr>
          <w:rFonts w:hint="default" w:ascii="Times New Roman" w:hAnsi="Times New Roman" w:cs="Times New Roman"/>
          <w:sz w:val="24"/>
        </w:rPr>
        <w:t>万元。</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Times New Roman" w:hAnsi="Times New Roman" w:cs="Times New Roman"/>
          <w:sz w:val="24"/>
        </w:rPr>
      </w:pPr>
      <w:r>
        <w:rPr>
          <w:rFonts w:hint="default" w:ascii="Times New Roman" w:hAnsi="Times New Roman" w:cs="Times New Roman"/>
          <w:sz w:val="24"/>
        </w:rPr>
        <w:t>4.2医务人员遭受伤害责任险：</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Times New Roman" w:hAnsi="Times New Roman" w:cs="Times New Roman"/>
          <w:sz w:val="24"/>
        </w:rPr>
      </w:pPr>
      <w:r>
        <w:rPr>
          <w:rFonts w:hint="default" w:ascii="Times New Roman" w:hAnsi="Times New Roman" w:cs="Times New Roman"/>
          <w:sz w:val="24"/>
        </w:rPr>
        <w:t>（1）承保范围：我院工作人员在医院场所内（含我院本部、政务中心婚检点、西河卫生院婚检点、建材路619号）遭受患方损害所致人身、精神等伤害的；或有证据证明我院工作人员在非医院场所内因医疗争议遭受患方损害所致人身、精神等伤害的。</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Times New Roman" w:hAnsi="Times New Roman" w:cs="Times New Roman"/>
          <w:sz w:val="24"/>
        </w:rPr>
      </w:pPr>
      <w:r>
        <w:rPr>
          <w:rFonts w:hint="default" w:ascii="Times New Roman" w:hAnsi="Times New Roman" w:cs="Times New Roman"/>
          <w:sz w:val="24"/>
        </w:rPr>
        <w:t>（2）承保金额：累计责任限额不低于100万元，每人每次事故限额不低于10万元（无免赔金额）。</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Times New Roman" w:hAnsi="Times New Roman" w:cs="Times New Roman"/>
          <w:sz w:val="24"/>
        </w:rPr>
      </w:pPr>
      <w:r>
        <w:rPr>
          <w:rFonts w:hint="default" w:ascii="Times New Roman" w:hAnsi="Times New Roman" w:cs="Times New Roman"/>
          <w:sz w:val="24"/>
        </w:rPr>
        <w:t>4.3医疗机构场所责任险：</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Times New Roman" w:hAnsi="Times New Roman" w:cs="Times New Roman"/>
          <w:sz w:val="24"/>
        </w:rPr>
      </w:pPr>
      <w:r>
        <w:rPr>
          <w:rFonts w:hint="default" w:ascii="Times New Roman" w:hAnsi="Times New Roman" w:cs="Times New Roman"/>
          <w:sz w:val="24"/>
        </w:rPr>
        <w:t>（1）承保范围：医院场所内（含我院本部、政务中心婚检点、西河卫生院婚检点、建材路619号）的建筑物、电梯、升降机、自动梯，通道（应包括场所外1公里以内范围）或其他设施，因设置、保管、管理有缺陷或使用不当造成人员人身伤害及财产损失；医院工作人员在执行非诊疗工作时，因疏忽或过失造成的人员伤害或财产损失。</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（2）承保金额：每次赔偿限额不低于30万元，累计赔偿限额不低于100万元。</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Times New Roman" w:hAnsi="Times New Roman" w:cs="Times New Roman"/>
          <w:sz w:val="24"/>
        </w:rPr>
      </w:pPr>
      <w:r>
        <w:rPr>
          <w:rFonts w:hint="default" w:ascii="Times New Roman" w:hAnsi="Times New Roman" w:cs="Times New Roman"/>
          <w:sz w:val="24"/>
        </w:rPr>
        <w:t>5</w:t>
      </w:r>
      <w:r>
        <w:rPr>
          <w:rFonts w:hint="default" w:ascii="Times New Roman" w:hAnsi="Times New Roman" w:cs="Times New Roman"/>
          <w:sz w:val="24"/>
          <w:lang w:val="en-US" w:eastAsia="zh-CN"/>
        </w:rPr>
        <w:t>.</w:t>
      </w:r>
      <w:r>
        <w:rPr>
          <w:rFonts w:hint="default" w:ascii="Times New Roman" w:hAnsi="Times New Roman" w:cs="Times New Roman"/>
          <w:sz w:val="24"/>
        </w:rPr>
        <w:t>赔偿处理：医院向承保保险公司提供以下列方式之一资料，按照承保合同应当按照的约定进行赔偿：</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Times New Roman" w:hAnsi="Times New Roman" w:cs="Times New Roman"/>
          <w:sz w:val="24"/>
        </w:rPr>
      </w:pPr>
      <w:r>
        <w:rPr>
          <w:rFonts w:hint="default" w:ascii="Times New Roman" w:hAnsi="Times New Roman" w:cs="Times New Roman"/>
          <w:sz w:val="24"/>
        </w:rPr>
        <w:t>5.1医院和向医院提出损害赔偿请求的患者协商并经保险公司确认。</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Times New Roman" w:hAnsi="Times New Roman" w:cs="Times New Roman"/>
          <w:sz w:val="24"/>
        </w:rPr>
      </w:pPr>
      <w:r>
        <w:rPr>
          <w:rFonts w:hint="default" w:ascii="Times New Roman" w:hAnsi="Times New Roman" w:cs="Times New Roman"/>
          <w:sz w:val="24"/>
        </w:rPr>
        <w:t>5.2医院向承保公司提供仲裁机构裁决书。</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Times New Roman" w:hAnsi="Times New Roman" w:cs="Times New Roman"/>
          <w:sz w:val="24"/>
        </w:rPr>
      </w:pPr>
      <w:r>
        <w:rPr>
          <w:rFonts w:hint="default" w:ascii="Times New Roman" w:hAnsi="Times New Roman" w:cs="Times New Roman"/>
          <w:sz w:val="24"/>
        </w:rPr>
        <w:t>5.3医院向承保公司提供人民法院判决书或调解书。</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Times New Roman" w:hAnsi="Times New Roman" w:cs="Times New Roman"/>
          <w:sz w:val="24"/>
        </w:rPr>
      </w:pPr>
      <w:r>
        <w:rPr>
          <w:rFonts w:hint="default" w:ascii="Times New Roman" w:hAnsi="Times New Roman" w:cs="Times New Roman"/>
          <w:sz w:val="24"/>
        </w:rPr>
        <w:t>5.4医院向承保公司提供卫生行政部门调解书（含人民纠纷调解委员会出具的调解书）。</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Times New Roman" w:hAnsi="Times New Roman" w:cs="Times New Roman"/>
          <w:sz w:val="24"/>
        </w:rPr>
      </w:pPr>
      <w:r>
        <w:rPr>
          <w:rFonts w:hint="default" w:ascii="Times New Roman" w:hAnsi="Times New Roman" w:cs="Times New Roman"/>
          <w:sz w:val="24"/>
        </w:rPr>
        <w:t>5.5承保公司与医院协商认可的其他方式。</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Times New Roman" w:hAnsi="Times New Roman" w:cs="Times New Roman"/>
          <w:sz w:val="24"/>
        </w:rPr>
      </w:pPr>
      <w:r>
        <w:rPr>
          <w:rFonts w:hint="default" w:ascii="Times New Roman" w:hAnsi="Times New Roman" w:cs="Times New Roman"/>
          <w:sz w:val="24"/>
        </w:rPr>
        <w:t>5.6医疗纠纷发生后赔偿金额在2万元以内，医患双方可协商解决</w:t>
      </w:r>
      <w:r>
        <w:rPr>
          <w:rFonts w:hint="default" w:ascii="Times New Roman" w:hAnsi="Times New Roman" w:cs="Times New Roman"/>
          <w:sz w:val="24"/>
          <w:lang w:val="en-US" w:eastAsia="zh-CN"/>
        </w:rPr>
        <w:t>保险公司按照5.1要求进行理赔偿；</w:t>
      </w:r>
      <w:r>
        <w:rPr>
          <w:rFonts w:hint="default" w:ascii="Times New Roman" w:hAnsi="Times New Roman" w:cs="Times New Roman"/>
          <w:sz w:val="24"/>
        </w:rPr>
        <w:t>2万元以上（含2万元），10万元（含10万元）以下的医疗纠纷，保险公司和卫生行政部门（含医调委）</w:t>
      </w:r>
      <w:r>
        <w:rPr>
          <w:rFonts w:hint="default" w:ascii="Times New Roman" w:hAnsi="Times New Roman" w:cs="Times New Roman"/>
          <w:sz w:val="24"/>
          <w:lang w:val="en-US" w:eastAsia="zh-CN"/>
        </w:rPr>
        <w:t>介入</w:t>
      </w:r>
      <w:r>
        <w:rPr>
          <w:rFonts w:hint="default" w:ascii="Times New Roman" w:hAnsi="Times New Roman" w:cs="Times New Roman"/>
          <w:sz w:val="24"/>
        </w:rPr>
        <w:t>，可直接调解</w:t>
      </w:r>
      <w:r>
        <w:rPr>
          <w:rFonts w:hint="default" w:ascii="Times New Roman" w:hAnsi="Times New Roman" w:cs="Times New Roman"/>
          <w:sz w:val="24"/>
          <w:lang w:eastAsia="zh-CN"/>
        </w:rPr>
        <w:t>，</w:t>
      </w:r>
      <w:r>
        <w:rPr>
          <w:rFonts w:hint="default" w:ascii="Times New Roman" w:hAnsi="Times New Roman" w:cs="Times New Roman"/>
          <w:sz w:val="24"/>
          <w:lang w:val="en-US" w:eastAsia="zh-CN"/>
        </w:rPr>
        <w:t>保险公司按照5.4要求进行赔偿。</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Times New Roman" w:hAnsi="Times New Roman" w:cs="Times New Roman"/>
          <w:sz w:val="24"/>
        </w:rPr>
      </w:pPr>
      <w:r>
        <w:rPr>
          <w:rFonts w:hint="default" w:ascii="Times New Roman" w:hAnsi="Times New Roman" w:cs="Times New Roman"/>
          <w:sz w:val="24"/>
        </w:rPr>
        <w:t>6</w:t>
      </w:r>
      <w:r>
        <w:rPr>
          <w:rFonts w:hint="default" w:ascii="Times New Roman" w:hAnsi="Times New Roman" w:cs="Times New Roman"/>
          <w:sz w:val="24"/>
          <w:lang w:val="en-US" w:eastAsia="zh-CN"/>
        </w:rPr>
        <w:t>.</w:t>
      </w:r>
      <w:r>
        <w:rPr>
          <w:rFonts w:hint="default" w:ascii="Times New Roman" w:hAnsi="Times New Roman" w:cs="Times New Roman"/>
          <w:sz w:val="24"/>
        </w:rPr>
        <w:t>其他：</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Times New Roman" w:hAnsi="Times New Roman" w:cs="Times New Roman"/>
          <w:sz w:val="24"/>
        </w:rPr>
      </w:pPr>
      <w:r>
        <w:rPr>
          <w:rFonts w:hint="default" w:ascii="Times New Roman" w:hAnsi="Times New Roman" w:cs="Times New Roman"/>
          <w:sz w:val="24"/>
        </w:rPr>
        <w:t>6.1医院有权对保险公司的服务行为进行监督和检查，拥有监管权。</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Times New Roman" w:hAnsi="Times New Roman" w:cs="Times New Roman"/>
          <w:sz w:val="24"/>
        </w:rPr>
      </w:pPr>
      <w:r>
        <w:rPr>
          <w:rFonts w:hint="default" w:ascii="Times New Roman" w:hAnsi="Times New Roman" w:cs="Times New Roman"/>
          <w:sz w:val="24"/>
        </w:rPr>
        <w:t>6.2医院有权定期核对保险公司提供服务所配备的人员数量，认为不合理的部分有权下达整改通知书，并要求保险公司限期整改。</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Times New Roman" w:hAnsi="Times New Roman" w:cs="Times New Roman"/>
          <w:sz w:val="24"/>
        </w:rPr>
      </w:pPr>
      <w:r>
        <w:rPr>
          <w:rFonts w:hint="default" w:ascii="Times New Roman" w:hAnsi="Times New Roman" w:cs="Times New Roman"/>
          <w:sz w:val="24"/>
        </w:rPr>
        <w:t>6.3如保险公司在履职过程中出现疏忽、失职、过错等过失并给医院造成损失的，保险公司承担全部责任。</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default" w:ascii="Times New Roman" w:hAnsi="Times New Roman" w:eastAsia="宋体" w:cs="Times New Roman"/>
          <w:color w:val="auto"/>
          <w:kern w:val="2"/>
          <w:sz w:val="24"/>
          <w:lang w:bidi="ar"/>
        </w:rPr>
      </w:pPr>
      <w:r>
        <w:rPr>
          <w:rFonts w:hint="default" w:ascii="Times New Roman" w:hAnsi="Times New Roman" w:cs="Times New Roman"/>
          <w:sz w:val="24"/>
        </w:rPr>
        <w:t>6.4</w:t>
      </w:r>
      <w:r>
        <w:rPr>
          <w:rFonts w:hint="default" w:ascii="Times New Roman" w:hAnsi="Times New Roman" w:cs="Times New Roman"/>
          <w:sz w:val="24"/>
        </w:rPr>
        <w:t>医院每年医务人员增长率在5%以内免收保费</w:t>
      </w:r>
      <w:r>
        <w:rPr>
          <w:rFonts w:hint="default" w:ascii="Times New Roman" w:hAnsi="Times New Roman" w:cs="Times New Roman"/>
          <w:sz w:val="24"/>
          <w:lang w:eastAsia="zh-CN"/>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cs="Times New Roman"/>
          <w:sz w:val="24"/>
          <w:lang w:val="en-US" w:eastAsia="zh-CN"/>
        </w:rPr>
        <w:t>6.5免赔额：</w:t>
      </w:r>
      <w:r>
        <w:rPr>
          <w:rFonts w:hint="default" w:ascii="Times New Roman" w:hAnsi="Times New Roman" w:cs="Times New Roman"/>
          <w:sz w:val="24"/>
        </w:rPr>
        <w:t>按医疗责任每次</w:t>
      </w:r>
      <w:r>
        <w:rPr>
          <w:rFonts w:hint="default" w:ascii="Times New Roman" w:hAnsi="Times New Roman" w:cs="Times New Roman"/>
          <w:sz w:val="24"/>
          <w:lang w:val="en-US" w:eastAsia="zh-CN"/>
        </w:rPr>
        <w:t>不高于</w:t>
      </w:r>
      <w:r>
        <w:rPr>
          <w:rFonts w:hint="default" w:ascii="Times New Roman" w:hAnsi="Times New Roman" w:cs="Times New Roman"/>
          <w:sz w:val="24"/>
        </w:rPr>
        <w:t>事故赔偿金额的5％或1000元计，两者以高者为准</w:t>
      </w:r>
      <w:r>
        <w:rPr>
          <w:rFonts w:hint="default" w:ascii="Times New Roman" w:hAnsi="Times New Roman" w:cs="Times New Roman"/>
          <w:sz w:val="24"/>
          <w:lang w:eastAsia="zh-CN"/>
        </w:rPr>
        <w:t>。</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outlineLvl w:val="2"/>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三、其他要求</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无</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outlineLvl w:val="2"/>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四、资质要求</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供应商必须取得《营业执照》与《保险经营许可证》。</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outlineLvl w:val="2"/>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五、商务要求</w:t>
      </w:r>
    </w:p>
    <w:p>
      <w:pPr>
        <w:numPr>
          <w:ilvl w:val="-1"/>
          <w:numId w:val="0"/>
        </w:numPr>
        <w:spacing w:line="400" w:lineRule="exact"/>
        <w:ind w:firstLine="480" w:firstLineChars="200"/>
        <w:jc w:val="left"/>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1.履约地点：采购人指定地点。</w:t>
      </w:r>
    </w:p>
    <w:p>
      <w:pPr>
        <w:spacing w:line="400" w:lineRule="exact"/>
        <w:rPr>
          <w:rFonts w:ascii="Times New Roman" w:hAnsi="Times New Roman" w:cs="Times New Roman"/>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2.付款方法：自合同签订且乙方提交合法等额的增值税发票之日起30个工作日内一次性以转账汇款的方式向保险公司支付保费。</w:t>
      </w:r>
    </w:p>
    <w:sectPr>
      <w:footerReference r:id="rId3" w:type="default"/>
      <w:pgSz w:w="11906" w:h="16838"/>
      <w:pgMar w:top="850" w:right="1800" w:bottom="1440" w:left="1134"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Segoe UI Symbol">
    <w:panose1 w:val="020B0502040204020203"/>
    <w:charset w:val="00"/>
    <w:family w:val="swiss"/>
    <w:pitch w:val="default"/>
    <w:sig w:usb0="800001E3" w:usb1="1200FFEF" w:usb2="00040000" w:usb3="04000000" w:csb0="00000001" w:csb1="40000000"/>
  </w:font>
  <w:font w:name="方正仿宋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v:textbox>
            </v:shape>
          </w:pict>
        </mc:Fallback>
      </mc:AlternateContent>
    </w:r>
  </w:p>
  <w:p>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88B765"/>
    <w:multiLevelType w:val="singleLevel"/>
    <w:tmpl w:val="4088B765"/>
    <w:lvl w:ilvl="0" w:tentative="0">
      <w:start w:val="1"/>
      <w:numFmt w:val="chineseCounting"/>
      <w:suff w:val="nothing"/>
      <w:lvlText w:val="（%1）"/>
      <w:lvlJc w:val="left"/>
      <w:rPr>
        <w:rFonts w:hint="eastAsia"/>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4FAD"/>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5B54DD"/>
    <w:rsid w:val="02967325"/>
    <w:rsid w:val="02DA5839"/>
    <w:rsid w:val="02E726C3"/>
    <w:rsid w:val="04557B19"/>
    <w:rsid w:val="04C61298"/>
    <w:rsid w:val="04DE6C7F"/>
    <w:rsid w:val="05A83606"/>
    <w:rsid w:val="05D83B97"/>
    <w:rsid w:val="05F62118"/>
    <w:rsid w:val="06380241"/>
    <w:rsid w:val="07C94BE1"/>
    <w:rsid w:val="07DE6769"/>
    <w:rsid w:val="09372641"/>
    <w:rsid w:val="095A6A56"/>
    <w:rsid w:val="09CA2C87"/>
    <w:rsid w:val="09E54036"/>
    <w:rsid w:val="0A325ADB"/>
    <w:rsid w:val="0ABF45FF"/>
    <w:rsid w:val="0B216CF4"/>
    <w:rsid w:val="0B226C57"/>
    <w:rsid w:val="0B353F6E"/>
    <w:rsid w:val="0C4A01D3"/>
    <w:rsid w:val="0C913FB2"/>
    <w:rsid w:val="0DE63924"/>
    <w:rsid w:val="0E5D7936"/>
    <w:rsid w:val="0F26150C"/>
    <w:rsid w:val="0F3436E0"/>
    <w:rsid w:val="0F5721E2"/>
    <w:rsid w:val="0F6D5B99"/>
    <w:rsid w:val="1061346A"/>
    <w:rsid w:val="10FC4462"/>
    <w:rsid w:val="11C54B88"/>
    <w:rsid w:val="12100E62"/>
    <w:rsid w:val="12D612E8"/>
    <w:rsid w:val="12F150B5"/>
    <w:rsid w:val="132D2513"/>
    <w:rsid w:val="137B38DC"/>
    <w:rsid w:val="13E63669"/>
    <w:rsid w:val="146B53DF"/>
    <w:rsid w:val="14BA32E1"/>
    <w:rsid w:val="16803C1A"/>
    <w:rsid w:val="16AC0EAA"/>
    <w:rsid w:val="16D20FE6"/>
    <w:rsid w:val="17373CEB"/>
    <w:rsid w:val="174A3FF1"/>
    <w:rsid w:val="17500414"/>
    <w:rsid w:val="178339EB"/>
    <w:rsid w:val="18254B65"/>
    <w:rsid w:val="182F4CA9"/>
    <w:rsid w:val="184039D1"/>
    <w:rsid w:val="188C4A43"/>
    <w:rsid w:val="18B92AF3"/>
    <w:rsid w:val="18CC494A"/>
    <w:rsid w:val="195C3707"/>
    <w:rsid w:val="198232D2"/>
    <w:rsid w:val="19873C6D"/>
    <w:rsid w:val="1B040AF0"/>
    <w:rsid w:val="1B7222D0"/>
    <w:rsid w:val="1B7F6894"/>
    <w:rsid w:val="1B811C08"/>
    <w:rsid w:val="1C403A91"/>
    <w:rsid w:val="1CAF1766"/>
    <w:rsid w:val="1DA9388C"/>
    <w:rsid w:val="1DD80BF7"/>
    <w:rsid w:val="1E8B6382"/>
    <w:rsid w:val="1E9268BE"/>
    <w:rsid w:val="1ECF4D3F"/>
    <w:rsid w:val="209F0FF7"/>
    <w:rsid w:val="20F56432"/>
    <w:rsid w:val="21076199"/>
    <w:rsid w:val="22246CB4"/>
    <w:rsid w:val="23731E0F"/>
    <w:rsid w:val="2377795D"/>
    <w:rsid w:val="23D504F4"/>
    <w:rsid w:val="246F59E3"/>
    <w:rsid w:val="24DA7466"/>
    <w:rsid w:val="252E3B84"/>
    <w:rsid w:val="25464A98"/>
    <w:rsid w:val="256078BF"/>
    <w:rsid w:val="256E49D5"/>
    <w:rsid w:val="25CD1C4A"/>
    <w:rsid w:val="26B2464D"/>
    <w:rsid w:val="26C03556"/>
    <w:rsid w:val="27807BE0"/>
    <w:rsid w:val="27B15F4F"/>
    <w:rsid w:val="287326EC"/>
    <w:rsid w:val="29D06D9D"/>
    <w:rsid w:val="29DA40B8"/>
    <w:rsid w:val="29FD5AAD"/>
    <w:rsid w:val="2A931417"/>
    <w:rsid w:val="2AD91234"/>
    <w:rsid w:val="2B4F2CEF"/>
    <w:rsid w:val="2BBC1282"/>
    <w:rsid w:val="2BC2399E"/>
    <w:rsid w:val="2BEC1302"/>
    <w:rsid w:val="2C182D55"/>
    <w:rsid w:val="2CED706D"/>
    <w:rsid w:val="2CF35149"/>
    <w:rsid w:val="2E102ABB"/>
    <w:rsid w:val="2FCA7EE6"/>
    <w:rsid w:val="2FEE15A0"/>
    <w:rsid w:val="303A1F05"/>
    <w:rsid w:val="30FB7E9E"/>
    <w:rsid w:val="323325C4"/>
    <w:rsid w:val="324D2A55"/>
    <w:rsid w:val="3292324B"/>
    <w:rsid w:val="33504021"/>
    <w:rsid w:val="34C82575"/>
    <w:rsid w:val="34D357FA"/>
    <w:rsid w:val="3513031C"/>
    <w:rsid w:val="368E6692"/>
    <w:rsid w:val="36B064EA"/>
    <w:rsid w:val="3794592A"/>
    <w:rsid w:val="3822667D"/>
    <w:rsid w:val="38AA704F"/>
    <w:rsid w:val="38B05953"/>
    <w:rsid w:val="38B745E0"/>
    <w:rsid w:val="3998117C"/>
    <w:rsid w:val="39D45C36"/>
    <w:rsid w:val="39EB38A2"/>
    <w:rsid w:val="3A8B6411"/>
    <w:rsid w:val="3B58176B"/>
    <w:rsid w:val="3B9D6276"/>
    <w:rsid w:val="3BFA37AC"/>
    <w:rsid w:val="3C2A2DAA"/>
    <w:rsid w:val="3CB815AB"/>
    <w:rsid w:val="3CD75987"/>
    <w:rsid w:val="3D4663AF"/>
    <w:rsid w:val="3F2F17A1"/>
    <w:rsid w:val="3F703160"/>
    <w:rsid w:val="3FC91C02"/>
    <w:rsid w:val="407C7408"/>
    <w:rsid w:val="408D1678"/>
    <w:rsid w:val="411E528A"/>
    <w:rsid w:val="418D28C4"/>
    <w:rsid w:val="419E4D6E"/>
    <w:rsid w:val="423934A4"/>
    <w:rsid w:val="42C159A0"/>
    <w:rsid w:val="435B4FED"/>
    <w:rsid w:val="43923A02"/>
    <w:rsid w:val="44CD3311"/>
    <w:rsid w:val="45DB5113"/>
    <w:rsid w:val="45FA22EB"/>
    <w:rsid w:val="460B369C"/>
    <w:rsid w:val="46494F46"/>
    <w:rsid w:val="48F7696F"/>
    <w:rsid w:val="490907D4"/>
    <w:rsid w:val="4931425C"/>
    <w:rsid w:val="493D5329"/>
    <w:rsid w:val="497C7373"/>
    <w:rsid w:val="49974FAF"/>
    <w:rsid w:val="4B5D638A"/>
    <w:rsid w:val="4B623F21"/>
    <w:rsid w:val="4B924DF7"/>
    <w:rsid w:val="4C7D00D2"/>
    <w:rsid w:val="4CEA7853"/>
    <w:rsid w:val="4CF34D42"/>
    <w:rsid w:val="4D6026FD"/>
    <w:rsid w:val="4D7A092A"/>
    <w:rsid w:val="4DAF067F"/>
    <w:rsid w:val="4E0758E7"/>
    <w:rsid w:val="4EFA24EA"/>
    <w:rsid w:val="4FD65049"/>
    <w:rsid w:val="50C20C69"/>
    <w:rsid w:val="50CB7074"/>
    <w:rsid w:val="511A355D"/>
    <w:rsid w:val="513762CB"/>
    <w:rsid w:val="51950AC2"/>
    <w:rsid w:val="52C00CFA"/>
    <w:rsid w:val="53115F1D"/>
    <w:rsid w:val="53E94A32"/>
    <w:rsid w:val="54A47FA0"/>
    <w:rsid w:val="55B5596C"/>
    <w:rsid w:val="56D145E5"/>
    <w:rsid w:val="5802534B"/>
    <w:rsid w:val="59A61C5F"/>
    <w:rsid w:val="5A2D1CC6"/>
    <w:rsid w:val="5AF76ED7"/>
    <w:rsid w:val="5BB61575"/>
    <w:rsid w:val="5D8878AB"/>
    <w:rsid w:val="5DC3307D"/>
    <w:rsid w:val="5EA6596C"/>
    <w:rsid w:val="5ED65EE2"/>
    <w:rsid w:val="5FE55220"/>
    <w:rsid w:val="60132AC1"/>
    <w:rsid w:val="6066691B"/>
    <w:rsid w:val="60997887"/>
    <w:rsid w:val="60AC159B"/>
    <w:rsid w:val="611F2602"/>
    <w:rsid w:val="61F31C9B"/>
    <w:rsid w:val="61FC3938"/>
    <w:rsid w:val="62146F60"/>
    <w:rsid w:val="628B3E72"/>
    <w:rsid w:val="63667240"/>
    <w:rsid w:val="637B3DE7"/>
    <w:rsid w:val="63934138"/>
    <w:rsid w:val="63F62C16"/>
    <w:rsid w:val="64E62082"/>
    <w:rsid w:val="65DA51F7"/>
    <w:rsid w:val="65DB4654"/>
    <w:rsid w:val="65E158A6"/>
    <w:rsid w:val="67077750"/>
    <w:rsid w:val="672D629E"/>
    <w:rsid w:val="6793044A"/>
    <w:rsid w:val="68E06C2C"/>
    <w:rsid w:val="68FD23E4"/>
    <w:rsid w:val="69747633"/>
    <w:rsid w:val="69B42AF7"/>
    <w:rsid w:val="69E41B3B"/>
    <w:rsid w:val="6A1720EA"/>
    <w:rsid w:val="6A9D70E3"/>
    <w:rsid w:val="6AAB0C17"/>
    <w:rsid w:val="6AB04A26"/>
    <w:rsid w:val="6B4E5B09"/>
    <w:rsid w:val="6BBB0CC6"/>
    <w:rsid w:val="6C0762BF"/>
    <w:rsid w:val="6C4838F4"/>
    <w:rsid w:val="6D0A0A3D"/>
    <w:rsid w:val="6D564F88"/>
    <w:rsid w:val="6E582E85"/>
    <w:rsid w:val="6E8C507E"/>
    <w:rsid w:val="6EA93056"/>
    <w:rsid w:val="6EB1235D"/>
    <w:rsid w:val="6F520277"/>
    <w:rsid w:val="6F9B6713"/>
    <w:rsid w:val="70BF5C7A"/>
    <w:rsid w:val="71246208"/>
    <w:rsid w:val="71BE1F67"/>
    <w:rsid w:val="729A42C4"/>
    <w:rsid w:val="731E7004"/>
    <w:rsid w:val="7353288B"/>
    <w:rsid w:val="73535858"/>
    <w:rsid w:val="73600286"/>
    <w:rsid w:val="7379541C"/>
    <w:rsid w:val="73B97203"/>
    <w:rsid w:val="73BD7DF0"/>
    <w:rsid w:val="73C940A2"/>
    <w:rsid w:val="74697AB7"/>
    <w:rsid w:val="754E0BFA"/>
    <w:rsid w:val="75CD0D5C"/>
    <w:rsid w:val="760213C2"/>
    <w:rsid w:val="764E0276"/>
    <w:rsid w:val="76F472B2"/>
    <w:rsid w:val="775F21CA"/>
    <w:rsid w:val="778219EA"/>
    <w:rsid w:val="77BD5437"/>
    <w:rsid w:val="7807665E"/>
    <w:rsid w:val="78142FAE"/>
    <w:rsid w:val="792953D2"/>
    <w:rsid w:val="7B6B2B44"/>
    <w:rsid w:val="7B7754C9"/>
    <w:rsid w:val="7CB3340E"/>
    <w:rsid w:val="7CFB08E4"/>
    <w:rsid w:val="7D930A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26"/>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Body Text First Indent 21"/>
    <w:basedOn w:val="1"/>
    <w:qFormat/>
    <w:uiPriority w:val="0"/>
    <w:pPr>
      <w:ind w:firstLine="420" w:firstLineChars="200"/>
    </w:pPr>
  </w:style>
  <w:style w:type="paragraph" w:styleId="5">
    <w:name w:val="Normal Indent"/>
    <w:basedOn w:val="1"/>
    <w:qFormat/>
    <w:uiPriority w:val="0"/>
    <w:pPr>
      <w:ind w:firstLine="420" w:firstLineChars="200"/>
    </w:pPr>
  </w:style>
  <w:style w:type="paragraph" w:styleId="6">
    <w:name w:val="annotation text"/>
    <w:basedOn w:val="1"/>
    <w:link w:val="35"/>
    <w:semiHidden/>
    <w:unhideWhenUsed/>
    <w:qFormat/>
    <w:uiPriority w:val="99"/>
    <w:pPr>
      <w:jc w:val="left"/>
    </w:pPr>
  </w:style>
  <w:style w:type="paragraph" w:styleId="7">
    <w:name w:val="Salutation"/>
    <w:basedOn w:val="1"/>
    <w:next w:val="1"/>
    <w:qFormat/>
    <w:uiPriority w:val="99"/>
  </w:style>
  <w:style w:type="paragraph" w:styleId="8">
    <w:name w:val="Body Text"/>
    <w:basedOn w:val="1"/>
    <w:next w:val="9"/>
    <w:qFormat/>
    <w:uiPriority w:val="0"/>
    <w:pPr>
      <w:spacing w:after="120"/>
    </w:pPr>
  </w:style>
  <w:style w:type="paragraph" w:styleId="9">
    <w:name w:val="Body Text First Indent"/>
    <w:basedOn w:val="8"/>
    <w:qFormat/>
    <w:uiPriority w:val="99"/>
    <w:pPr>
      <w:ind w:firstLine="420" w:firstLineChars="100"/>
    </w:pPr>
  </w:style>
  <w:style w:type="paragraph" w:styleId="10">
    <w:name w:val="Plain Text"/>
    <w:basedOn w:val="1"/>
    <w:link w:val="34"/>
    <w:qFormat/>
    <w:uiPriority w:val="0"/>
    <w:pPr>
      <w:autoSpaceDE w:val="0"/>
      <w:autoSpaceDN w:val="0"/>
      <w:adjustRightInd w:val="0"/>
    </w:pPr>
    <w:rPr>
      <w:rFonts w:ascii="宋体" w:hAnsi="Tms Rmn" w:eastAsia="宋体" w:cs="Times New Roman"/>
      <w:kern w:val="0"/>
      <w:szCs w:val="20"/>
    </w:rPr>
  </w:style>
  <w:style w:type="paragraph" w:styleId="11">
    <w:name w:val="Balloon Text"/>
    <w:basedOn w:val="1"/>
    <w:link w:val="29"/>
    <w:semiHidden/>
    <w:unhideWhenUsed/>
    <w:qFormat/>
    <w:uiPriority w:val="99"/>
    <w:rPr>
      <w:sz w:val="18"/>
      <w:szCs w:val="18"/>
    </w:rPr>
  </w:style>
  <w:style w:type="paragraph" w:styleId="12">
    <w:name w:val="footer"/>
    <w:basedOn w:val="1"/>
    <w:link w:val="24"/>
    <w:unhideWhenUsed/>
    <w:qFormat/>
    <w:uiPriority w:val="99"/>
    <w:pPr>
      <w:tabs>
        <w:tab w:val="center" w:pos="4153"/>
        <w:tab w:val="right" w:pos="8306"/>
      </w:tabs>
      <w:snapToGrid w:val="0"/>
      <w:jc w:val="left"/>
    </w:pPr>
    <w:rPr>
      <w:sz w:val="18"/>
      <w:szCs w:val="18"/>
    </w:rPr>
  </w:style>
  <w:style w:type="paragraph" w:styleId="13">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spacing w:after="160" w:line="259" w:lineRule="auto"/>
    </w:pPr>
    <w:rPr>
      <w:rFonts w:ascii="Calibri" w:hAnsi="Calibri" w:eastAsia="宋体" w:cs="Times New Roman"/>
      <w:szCs w:val="24"/>
    </w:rPr>
  </w:style>
  <w:style w:type="paragraph" w:styleId="15">
    <w:name w:val="Normal (Web)"/>
    <w:basedOn w:val="1"/>
    <w:semiHidden/>
    <w:unhideWhenUsed/>
    <w:qFormat/>
    <w:uiPriority w:val="99"/>
    <w:pPr>
      <w:spacing w:beforeAutospacing="1" w:afterAutospacing="1"/>
      <w:jc w:val="left"/>
    </w:pPr>
    <w:rPr>
      <w:rFonts w:cs="Times New Roman"/>
      <w:kern w:val="0"/>
      <w:sz w:val="24"/>
    </w:rPr>
  </w:style>
  <w:style w:type="paragraph" w:styleId="16">
    <w:name w:val="annotation subject"/>
    <w:basedOn w:val="6"/>
    <w:next w:val="6"/>
    <w:link w:val="36"/>
    <w:semiHidden/>
    <w:unhideWhenUsed/>
    <w:qFormat/>
    <w:uiPriority w:val="99"/>
    <w:rPr>
      <w:b/>
      <w:bCs/>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qFormat/>
    <w:uiPriority w:val="0"/>
  </w:style>
  <w:style w:type="character" w:styleId="21">
    <w:name w:val="Hyperlink"/>
    <w:basedOn w:val="19"/>
    <w:unhideWhenUsed/>
    <w:qFormat/>
    <w:uiPriority w:val="99"/>
    <w:rPr>
      <w:color w:val="0000FF" w:themeColor="hyperlink"/>
      <w:u w:val="single"/>
      <w14:textFill>
        <w14:solidFill>
          <w14:schemeClr w14:val="hlink"/>
        </w14:solidFill>
      </w14:textFill>
    </w:rPr>
  </w:style>
  <w:style w:type="character" w:styleId="22">
    <w:name w:val="annotation reference"/>
    <w:basedOn w:val="19"/>
    <w:semiHidden/>
    <w:unhideWhenUsed/>
    <w:qFormat/>
    <w:uiPriority w:val="99"/>
    <w:rPr>
      <w:sz w:val="21"/>
      <w:szCs w:val="21"/>
    </w:rPr>
  </w:style>
  <w:style w:type="character" w:customStyle="1" w:styleId="23">
    <w:name w:val="页眉 字符"/>
    <w:basedOn w:val="19"/>
    <w:link w:val="13"/>
    <w:qFormat/>
    <w:uiPriority w:val="99"/>
    <w:rPr>
      <w:sz w:val="18"/>
      <w:szCs w:val="18"/>
    </w:rPr>
  </w:style>
  <w:style w:type="character" w:customStyle="1" w:styleId="24">
    <w:name w:val="页脚 字符"/>
    <w:basedOn w:val="19"/>
    <w:link w:val="12"/>
    <w:qFormat/>
    <w:uiPriority w:val="99"/>
    <w:rPr>
      <w:sz w:val="18"/>
      <w:szCs w:val="18"/>
    </w:rPr>
  </w:style>
  <w:style w:type="paragraph" w:styleId="25">
    <w:name w:val="List Paragraph"/>
    <w:basedOn w:val="1"/>
    <w:qFormat/>
    <w:uiPriority w:val="34"/>
    <w:pPr>
      <w:ind w:firstLine="420" w:firstLineChars="200"/>
    </w:pPr>
  </w:style>
  <w:style w:type="character" w:customStyle="1" w:styleId="26">
    <w:name w:val="标题 2 字符"/>
    <w:basedOn w:val="19"/>
    <w:link w:val="4"/>
    <w:qFormat/>
    <w:uiPriority w:val="9"/>
    <w:rPr>
      <w:rFonts w:ascii="Arial" w:hAnsi="Arial" w:eastAsia="黑体" w:cs="Times New Roman"/>
      <w:b/>
      <w:bCs/>
      <w:sz w:val="32"/>
      <w:szCs w:val="32"/>
    </w:rPr>
  </w:style>
  <w:style w:type="character" w:customStyle="1" w:styleId="27">
    <w:name w:val="列出段落 Char"/>
    <w:link w:val="28"/>
    <w:qFormat/>
    <w:uiPriority w:val="34"/>
    <w:rPr>
      <w:rFonts w:ascii="宋体" w:hAnsi="宋体" w:cs="宋体"/>
      <w:sz w:val="24"/>
      <w:szCs w:val="24"/>
    </w:rPr>
  </w:style>
  <w:style w:type="paragraph" w:customStyle="1" w:styleId="28">
    <w:name w:val="列出段落1"/>
    <w:basedOn w:val="1"/>
    <w:link w:val="27"/>
    <w:qFormat/>
    <w:uiPriority w:val="34"/>
    <w:pPr>
      <w:widowControl/>
      <w:ind w:firstLine="420" w:firstLineChars="200"/>
      <w:jc w:val="left"/>
    </w:pPr>
    <w:rPr>
      <w:rFonts w:ascii="宋体" w:hAnsi="宋体" w:cs="宋体"/>
      <w:sz w:val="24"/>
      <w:szCs w:val="24"/>
    </w:rPr>
  </w:style>
  <w:style w:type="character" w:customStyle="1" w:styleId="29">
    <w:name w:val="批注框文本 字符"/>
    <w:basedOn w:val="19"/>
    <w:link w:val="11"/>
    <w:semiHidden/>
    <w:qFormat/>
    <w:uiPriority w:val="99"/>
    <w:rPr>
      <w:sz w:val="18"/>
      <w:szCs w:val="18"/>
    </w:rPr>
  </w:style>
  <w:style w:type="character" w:customStyle="1" w:styleId="30">
    <w:name w:val="font11"/>
    <w:basedOn w:val="19"/>
    <w:qFormat/>
    <w:uiPriority w:val="0"/>
    <w:rPr>
      <w:rFonts w:hint="eastAsia" w:ascii="宋体" w:hAnsi="宋体" w:eastAsia="宋体" w:cs="宋体"/>
      <w:color w:val="000000"/>
      <w:sz w:val="21"/>
      <w:szCs w:val="21"/>
      <w:u w:val="none"/>
    </w:rPr>
  </w:style>
  <w:style w:type="character" w:customStyle="1" w:styleId="31">
    <w:name w:val="font01"/>
    <w:basedOn w:val="19"/>
    <w:qFormat/>
    <w:uiPriority w:val="0"/>
    <w:rPr>
      <w:rFonts w:ascii="Calibri" w:hAnsi="Calibri" w:cs="Calibri"/>
      <w:color w:val="000000"/>
      <w:sz w:val="21"/>
      <w:szCs w:val="21"/>
      <w:u w:val="none"/>
    </w:rPr>
  </w:style>
  <w:style w:type="character" w:customStyle="1" w:styleId="32">
    <w:name w:val="font41"/>
    <w:basedOn w:val="19"/>
    <w:qFormat/>
    <w:uiPriority w:val="0"/>
    <w:rPr>
      <w:rFonts w:hint="eastAsia" w:ascii="宋体" w:hAnsi="宋体" w:eastAsia="宋体" w:cs="宋体"/>
      <w:color w:val="000000"/>
      <w:sz w:val="18"/>
      <w:szCs w:val="18"/>
      <w:u w:val="none"/>
    </w:rPr>
  </w:style>
  <w:style w:type="paragraph" w:customStyle="1" w:styleId="33">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4">
    <w:name w:val="纯文本 字符"/>
    <w:basedOn w:val="19"/>
    <w:link w:val="10"/>
    <w:qFormat/>
    <w:uiPriority w:val="0"/>
    <w:rPr>
      <w:rFonts w:ascii="宋体" w:hAnsi="Tms Rmn"/>
      <w:sz w:val="21"/>
    </w:rPr>
  </w:style>
  <w:style w:type="character" w:customStyle="1" w:styleId="35">
    <w:name w:val="批注文字 字符"/>
    <w:basedOn w:val="19"/>
    <w:link w:val="6"/>
    <w:semiHidden/>
    <w:qFormat/>
    <w:uiPriority w:val="99"/>
    <w:rPr>
      <w:rFonts w:asciiTheme="minorHAnsi" w:hAnsiTheme="minorHAnsi" w:eastAsiaTheme="minorEastAsia" w:cstheme="minorBidi"/>
      <w:kern w:val="2"/>
      <w:sz w:val="21"/>
      <w:szCs w:val="22"/>
    </w:rPr>
  </w:style>
  <w:style w:type="character" w:customStyle="1" w:styleId="36">
    <w:name w:val="批注主题 字符"/>
    <w:basedOn w:val="35"/>
    <w:link w:val="16"/>
    <w:semiHidden/>
    <w:qFormat/>
    <w:uiPriority w:val="99"/>
    <w:rPr>
      <w:rFonts w:asciiTheme="minorHAnsi" w:hAnsiTheme="minorHAnsi" w:eastAsiaTheme="minorEastAsia" w:cstheme="minorBidi"/>
      <w:b/>
      <w:bCs/>
      <w:kern w:val="2"/>
      <w:sz w:val="21"/>
      <w:szCs w:val="22"/>
    </w:rPr>
  </w:style>
  <w:style w:type="paragraph" w:customStyle="1" w:styleId="37">
    <w:name w:val="Table Paragraph"/>
    <w:basedOn w:val="1"/>
    <w:qFormat/>
    <w:uiPriority w:val="1"/>
    <w:rPr>
      <w:rFonts w:ascii="宋体" w:hAnsi="宋体" w:eastAsia="宋体" w:cs="宋体"/>
      <w:lang w:val="zh-CN" w:eastAsia="zh-CN" w:bidi="zh-CN"/>
    </w:rPr>
  </w:style>
  <w:style w:type="paragraph" w:customStyle="1" w:styleId="38">
    <w:name w:val="正文缩进3"/>
    <w:basedOn w:val="1"/>
    <w:qFormat/>
    <w:uiPriority w:val="0"/>
    <w:pPr>
      <w:ind w:firstLine="420"/>
    </w:pPr>
    <w:rPr>
      <w:rFonts w:ascii="宋体" w:hAnsi="Calibri"/>
      <w:kern w:val="0"/>
      <w:sz w:val="34"/>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3059</Words>
  <Characters>3240</Characters>
  <Lines>50</Lines>
  <Paragraphs>14</Paragraphs>
  <TotalTime>8</TotalTime>
  <ScaleCrop>false</ScaleCrop>
  <LinksUpToDate>false</LinksUpToDate>
  <CharactersWithSpaces>3474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2023-08-07T00:14:00Z</cp:lastPrinted>
  <dcterms:modified xsi:type="dcterms:W3CDTF">2023-12-04T03:00:27Z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2119F912CAF444D1B0567C47AE86A8CF_13</vt:lpwstr>
  </property>
</Properties>
</file>