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Arial" w:hAnsi="Arial" w:eastAsia="黑体" w:cs="Times New Roman"/>
          <w:b/>
          <w:bCs/>
          <w:color w:val="000000" w:themeColor="text1"/>
          <w:sz w:val="32"/>
          <w:szCs w:val="32"/>
          <w:highlight w:val="none"/>
          <w14:textFill>
            <w14:solidFill>
              <w14:schemeClr w14:val="tx1"/>
            </w14:solidFill>
          </w14:textFill>
        </w:rPr>
      </w:pPr>
      <w:bookmarkStart w:id="0" w:name="_Hlt101843627"/>
      <w:bookmarkEnd w:id="0"/>
      <w:bookmarkStart w:id="1" w:name="_Hlt101233737"/>
      <w:bookmarkEnd w:id="1"/>
      <w:r>
        <w:rPr>
          <w:rFonts w:hint="eastAsia" w:ascii="Arial" w:hAnsi="Arial" w:eastAsia="黑体" w:cs="Times New Roman"/>
          <w:b/>
          <w:bCs/>
          <w:color w:val="000000" w:themeColor="text1"/>
          <w:sz w:val="32"/>
          <w:szCs w:val="32"/>
          <w:highlight w:val="none"/>
          <w14:textFill>
            <w14:solidFill>
              <w14:schemeClr w14:val="tx1"/>
            </w14:solidFill>
          </w14:textFill>
        </w:rPr>
        <w:t>附件1：</w:t>
      </w:r>
      <w:bookmarkStart w:id="2" w:name="_GoBack"/>
      <w:r>
        <w:rPr>
          <w:rFonts w:hint="eastAsia" w:ascii="Arial" w:hAnsi="Arial" w:eastAsia="黑体" w:cs="Times New Roman"/>
          <w:b/>
          <w:bCs/>
          <w:color w:val="000000" w:themeColor="text1"/>
          <w:sz w:val="32"/>
          <w:szCs w:val="32"/>
          <w:highlight w:val="none"/>
          <w:lang w:val="en-US" w:eastAsia="zh-CN"/>
          <w14:textFill>
            <w14:solidFill>
              <w14:schemeClr w14:val="tx1"/>
            </w14:solidFill>
          </w14:textFill>
        </w:rPr>
        <w:t>项目</w:t>
      </w:r>
      <w:r>
        <w:rPr>
          <w:rFonts w:hint="eastAsia" w:ascii="Arial" w:hAnsi="Arial" w:eastAsia="黑体" w:cs="Times New Roman"/>
          <w:b/>
          <w:bCs/>
          <w:color w:val="000000" w:themeColor="text1"/>
          <w:sz w:val="32"/>
          <w:szCs w:val="32"/>
          <w:highlight w:val="none"/>
          <w14:textFill>
            <w14:solidFill>
              <w14:schemeClr w14:val="tx1"/>
            </w14:solidFill>
          </w14:textFill>
        </w:rPr>
        <w:t>需求</w:t>
      </w:r>
      <w:bookmarkEnd w:id="2"/>
    </w:p>
    <w:p>
      <w:pPr>
        <w:spacing w:line="500" w:lineRule="exact"/>
        <w:rPr>
          <w:rFonts w:hint="eastAsia"/>
          <w:color w:val="000000" w:themeColor="text1"/>
          <w:highlight w:val="none"/>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val="0"/>
        <w:snapToGrid w:val="0"/>
        <w:spacing w:line="500" w:lineRule="exact"/>
        <w:ind w:firstLine="480" w:firstLineChars="200"/>
        <w:jc w:val="left"/>
        <w:textAlignment w:val="auto"/>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一、项目概述：</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000000" w:themeColor="text1"/>
          <w:sz w:val="24"/>
          <w:szCs w:val="24"/>
          <w:highlight w:val="none"/>
          <w:lang w:eastAsia="zh-CN"/>
          <w14:textFill>
            <w14:solidFill>
              <w14:schemeClr w14:val="tx1"/>
            </w14:solidFill>
          </w14:textFill>
        </w:rPr>
      </w:pPr>
      <w:r>
        <w:rPr>
          <w:rFonts w:hint="default" w:ascii="宋体" w:hAnsi="宋体" w:eastAsia="宋体" w:cs="宋体"/>
          <w:color w:val="000000" w:themeColor="text1"/>
          <w:sz w:val="24"/>
          <w:szCs w:val="24"/>
          <w:highlight w:val="none"/>
          <w:lang w:eastAsia="zh-CN"/>
          <w14:textFill>
            <w14:solidFill>
              <w14:schemeClr w14:val="tx1"/>
            </w14:solidFill>
          </w14:textFill>
        </w:rPr>
        <w:t>随着医院业务和影响力的逐渐扩大，要求医院信息化必须</w:t>
      </w:r>
      <w:r>
        <w:rPr>
          <w:rFonts w:hint="default" w:ascii="宋体" w:hAnsi="宋体" w:eastAsia="宋体" w:cs="宋体"/>
          <w:b w:val="0"/>
          <w:bCs w:val="0"/>
          <w:color w:val="000000" w:themeColor="text1"/>
          <w:sz w:val="24"/>
          <w:szCs w:val="24"/>
          <w:highlight w:val="none"/>
          <w:lang w:eastAsia="zh-CN"/>
          <w14:textFill>
            <w14:solidFill>
              <w14:schemeClr w14:val="tx1"/>
            </w14:solidFill>
          </w14:textFill>
        </w:rPr>
        <w:t>具有领先性和可扩展性</w:t>
      </w:r>
      <w:r>
        <w:rPr>
          <w:rFonts w:hint="default" w:ascii="宋体" w:hAnsi="宋体" w:eastAsia="宋体" w:cs="宋体"/>
          <w:color w:val="000000" w:themeColor="text1"/>
          <w:sz w:val="24"/>
          <w:szCs w:val="24"/>
          <w:highlight w:val="none"/>
          <w:lang w:eastAsia="zh-CN"/>
          <w14:textFill>
            <w14:solidFill>
              <w14:schemeClr w14:val="tx1"/>
            </w14:solidFill>
          </w14:textFill>
        </w:rPr>
        <w:t>。智慧医院信息化建设必须同时满足业务深入、系统先进、服务贴身的建设要求。现有系统模型构建和整合存在一定的障碍，存在应用系统彼此独立和封闭的问题，同时医院前后台的业务规范及数据标准不统一，集成度有待提高，一体化管理未完全形成，不能满足医院精细化的管理需要。因此，需要构建统一的信息模型和基础数据标准，实现医院前端服务（临床服务）和后台管控服务（运营管理）信息一体化，实现运营管理与临床服务业务流程无缝连接。通过建立统一的数据挖掘模型，集中整体展示围绕收入、医疗质量、院内成本、利润等运营状况，构建一体化的决策支持。</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000000" w:themeColor="text1"/>
          <w:sz w:val="24"/>
          <w:szCs w:val="24"/>
          <w:highlight w:val="none"/>
          <w:lang w:eastAsia="zh-CN"/>
          <w14:textFill>
            <w14:solidFill>
              <w14:schemeClr w14:val="tx1"/>
            </w14:solidFill>
          </w14:textFill>
        </w:rPr>
      </w:pPr>
      <w:r>
        <w:rPr>
          <w:rFonts w:hint="default" w:ascii="宋体" w:hAnsi="宋体" w:eastAsia="宋体" w:cs="宋体"/>
          <w:color w:val="000000" w:themeColor="text1"/>
          <w:sz w:val="24"/>
          <w:szCs w:val="24"/>
          <w:highlight w:val="none"/>
          <w:lang w:eastAsia="zh-CN"/>
          <w14:textFill>
            <w14:solidFill>
              <w14:schemeClr w14:val="tx1"/>
            </w14:solidFill>
          </w14:textFill>
        </w:rPr>
        <w:t>随着国家医疗体系和经济现代化的不断推进，以及人们对生活质量需求的不断提高，基于人类社会在医疗水平发展进程中所面临的各类疾病和健康挑战，医院管理的模式、手段必须从原来的粗放型、经验型、医护参与少的管理向信息化、智能化、规范化、一体化的管理转型。我院智慧医院建设要将信息、通讯和互联网技术应用于医院发展的全过程和各方面，开创医院管理智能化和医疗服务便利化的新局面。大力推进智慧医院建设，围绕患者安全、三医联动、大健康等实际需求，构建智能便捷的医疗服务体系，从而使患者的获得感和满意感迈向新体验。</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20" w:firstLineChars="200"/>
        <w:textAlignment w:val="auto"/>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Cs w:val="24"/>
          <w:highlight w:val="none"/>
          <w:lang w:val="en-US" w:eastAsia="zh-CN"/>
          <w14:textFill>
            <w14:solidFill>
              <w14:schemeClr w14:val="tx1"/>
            </w14:solidFill>
          </w14:textFill>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二、</w:t>
      </w: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default" w:ascii="宋体" w:hAnsi="宋体" w:eastAsia="宋体" w:cs="宋体"/>
          <w:bCs w:val="0"/>
          <w:color w:val="000000" w:themeColor="text1"/>
          <w:sz w:val="24"/>
          <w:szCs w:val="24"/>
          <w:highlight w:val="none"/>
          <w:lang w:val="en-US"/>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1</w:t>
      </w:r>
      <w:r>
        <w:rPr>
          <w:rFonts w:hint="eastAsia" w:ascii="宋体" w:hAnsi="宋体" w:eastAsia="宋体" w:cs="宋体"/>
          <w:bCs w:val="0"/>
          <w:color w:val="000000" w:themeColor="text1"/>
          <w:kern w:val="2"/>
          <w:sz w:val="24"/>
          <w:szCs w:val="24"/>
          <w:highlight w:val="none"/>
          <w:lang w:val="en-US" w:eastAsia="zh-CN" w:bidi="ar-SA"/>
          <w14:textFill>
            <w14:solidFill>
              <w14:schemeClr w14:val="tx1"/>
            </w14:solidFill>
          </w14:textFill>
        </w:rPr>
        <w:t>.服务期限</w:t>
      </w: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及地点</w:t>
      </w:r>
    </w:p>
    <w:p>
      <w:pPr>
        <w:autoSpaceDE/>
        <w:autoSpaceDN/>
        <w:adjustRightInd/>
        <w:snapToGrid/>
        <w:spacing w:before="0" w:after="0" w:line="500" w:lineRule="exact"/>
        <w:ind w:firstLine="480" w:firstLineChars="200"/>
        <w:rPr>
          <w:rFonts w:hint="default" w:ascii="宋体" w:hAnsi="宋体" w:eastAsia="宋体" w:cs="宋体"/>
          <w:bCs w:val="0"/>
          <w:color w:val="000000" w:themeColor="text1"/>
          <w:sz w:val="24"/>
          <w:szCs w:val="24"/>
          <w:highlight w:val="none"/>
          <w:lang w:bidi="ar-SA"/>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 xml:space="preserve">1.1 </w:t>
      </w:r>
      <w:r>
        <w:rPr>
          <w:rFonts w:hint="eastAsia" w:ascii="宋体" w:hAnsi="宋体" w:eastAsia="宋体" w:cs="宋体"/>
          <w:bCs w:val="0"/>
          <w:color w:val="000000" w:themeColor="text1"/>
          <w:kern w:val="2"/>
          <w:sz w:val="24"/>
          <w:szCs w:val="24"/>
          <w:highlight w:val="none"/>
          <w:lang w:val="en-US" w:eastAsia="zh-CN" w:bidi="ar-SA"/>
          <w14:textFill>
            <w14:solidFill>
              <w14:schemeClr w14:val="tx1"/>
            </w14:solidFill>
          </w14:textFill>
        </w:rPr>
        <w:t>服务</w:t>
      </w: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时间：</w:t>
      </w:r>
      <w:r>
        <w:rPr>
          <w:rFonts w:hint="default" w:ascii="宋体" w:hAnsi="宋体" w:eastAsia="宋体" w:cs="宋体"/>
          <w:bCs w:val="0"/>
          <w:color w:val="000000" w:themeColor="text1"/>
          <w:sz w:val="24"/>
          <w:szCs w:val="24"/>
          <w:highlight w:val="none"/>
          <w:lang w:bidi="ar-SA"/>
          <w14:textFill>
            <w14:solidFill>
              <w14:schemeClr w14:val="tx1"/>
            </w14:solidFill>
          </w14:textFill>
        </w:rPr>
        <w:t>按双方正式合同签署生效后</w:t>
      </w:r>
      <w:r>
        <w:rPr>
          <w:rFonts w:hint="eastAsia" w:ascii="宋体" w:hAnsi="宋体" w:eastAsia="宋体" w:cs="宋体"/>
          <w:bCs w:val="0"/>
          <w:color w:val="000000" w:themeColor="text1"/>
          <w:sz w:val="24"/>
          <w:szCs w:val="24"/>
          <w:highlight w:val="none"/>
          <w:lang w:val="en-US" w:eastAsia="zh-CN" w:bidi="ar-SA"/>
          <w14:textFill>
            <w14:solidFill>
              <w14:schemeClr w14:val="tx1"/>
            </w14:solidFill>
          </w14:textFill>
        </w:rPr>
        <w:t>贰年；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default" w:ascii="宋体" w:hAnsi="宋体" w:eastAsia="宋体" w:cs="宋体"/>
          <w:bCs w:val="0"/>
          <w:color w:val="000000" w:themeColor="text1"/>
          <w:sz w:val="24"/>
          <w:szCs w:val="24"/>
          <w:highlight w:val="none"/>
          <w:lang w:val="en-US" w:bidi="ar-SA"/>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1.2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left"/>
        <w:textAlignment w:val="auto"/>
        <w:rPr>
          <w:rFonts w:hint="default" w:ascii="宋体" w:hAnsi="宋体" w:eastAsia="宋体" w:cs="宋体"/>
          <w:bCs w:val="0"/>
          <w:color w:val="000000" w:themeColor="text1"/>
          <w:sz w:val="24"/>
          <w:szCs w:val="24"/>
          <w:highlight w:val="none"/>
          <w:lang w:val="en-US" w:bidi="ar-SA"/>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2</w:t>
      </w:r>
      <w:r>
        <w:rPr>
          <w:rFonts w:hint="eastAsia" w:ascii="宋体" w:hAnsi="宋体" w:eastAsia="宋体" w:cs="宋体"/>
          <w:bCs w:val="0"/>
          <w:color w:val="000000" w:themeColor="text1"/>
          <w:kern w:val="2"/>
          <w:sz w:val="24"/>
          <w:szCs w:val="24"/>
          <w:highlight w:val="none"/>
          <w:lang w:val="en-US" w:eastAsia="zh-CN" w:bidi="ar-SA"/>
          <w14:textFill>
            <w14:solidFill>
              <w14:schemeClr w14:val="tx1"/>
            </w14:solidFill>
          </w14:textFill>
        </w:rPr>
        <w:t>.</w:t>
      </w: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付款方法：</w:t>
      </w:r>
    </w:p>
    <w:p>
      <w:pPr>
        <w:spacing w:line="500" w:lineRule="exact"/>
        <w:ind w:left="-2" w:leftChars="-1"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default" w:ascii="宋体" w:hAnsi="宋体" w:eastAsia="宋体" w:cs="宋体"/>
          <w:bCs w:val="0"/>
          <w:color w:val="000000" w:themeColor="text1"/>
          <w:kern w:val="2"/>
          <w:sz w:val="24"/>
          <w:szCs w:val="24"/>
          <w:highlight w:val="none"/>
          <w:lang w:val="en-US" w:eastAsia="zh-CN" w:bidi="ar-SA"/>
          <w14:textFill>
            <w14:solidFill>
              <w14:schemeClr w14:val="tx1"/>
            </w14:solidFill>
          </w14:textFill>
        </w:rPr>
        <w:t>2.</w:t>
      </w:r>
      <w:r>
        <w:rPr>
          <w:rFonts w:hint="default"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default" w:ascii="宋体" w:hAnsi="宋体" w:eastAsia="宋体" w:cs="宋体"/>
          <w:color w:val="000000" w:themeColor="text1"/>
          <w:sz w:val="24"/>
          <w:szCs w:val="24"/>
          <w:highlight w:val="none"/>
          <w14:textFill>
            <w14:solidFill>
              <w14:schemeClr w14:val="tx1"/>
            </w14:solidFill>
          </w14:textFill>
        </w:rPr>
        <w:t>双方签订服务合同后30个工作日内，甲方向乙方支付合同总金额的</w:t>
      </w:r>
      <w:r>
        <w:rPr>
          <w:rFonts w:hint="eastAsia" w:ascii="宋体" w:hAnsi="宋体" w:eastAsia="宋体" w:cs="宋体"/>
          <w:color w:val="000000" w:themeColor="text1"/>
          <w:sz w:val="24"/>
          <w:szCs w:val="24"/>
          <w:highlight w:val="none"/>
          <w:lang w:val="en-US" w:eastAsia="zh-CN"/>
          <w14:textFill>
            <w14:solidFill>
              <w14:schemeClr w14:val="tx1"/>
            </w14:solidFill>
          </w14:textFill>
        </w:rPr>
        <w:t>30</w:t>
      </w:r>
      <w:r>
        <w:rPr>
          <w:rFonts w:hint="default"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spacing w:line="500" w:lineRule="exact"/>
        <w:ind w:left="0" w:leftChars="0" w:firstLine="480"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w:t>
      </w: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乙方提供初步设计方案，经科室验收后，</w:t>
      </w:r>
      <w:r>
        <w:rPr>
          <w:rFonts w:hint="default" w:ascii="宋体" w:hAnsi="宋体" w:eastAsia="宋体" w:cs="宋体"/>
          <w:color w:val="000000" w:themeColor="text1"/>
          <w:sz w:val="24"/>
          <w:szCs w:val="24"/>
          <w:highlight w:val="none"/>
          <w14:textFill>
            <w14:solidFill>
              <w14:schemeClr w14:val="tx1"/>
            </w14:solidFill>
          </w14:textFill>
        </w:rPr>
        <w:t>甲方向乙方支付合同总金额的</w:t>
      </w:r>
      <w:r>
        <w:rPr>
          <w:rFonts w:hint="eastAsia" w:ascii="宋体" w:hAnsi="宋体" w:eastAsia="宋体" w:cs="宋体"/>
          <w:color w:val="000000" w:themeColor="text1"/>
          <w:sz w:val="24"/>
          <w:szCs w:val="24"/>
          <w:highlight w:val="none"/>
          <w:lang w:val="en-US" w:eastAsia="zh-CN"/>
          <w14:textFill>
            <w14:solidFill>
              <w14:schemeClr w14:val="tx1"/>
            </w14:solidFill>
          </w14:textFill>
        </w:rPr>
        <w:t>40</w:t>
      </w:r>
      <w:r>
        <w:rPr>
          <w:rFonts w:hint="default"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spacing w:line="500" w:lineRule="exact"/>
        <w:ind w:left="0" w:leftChars="0" w:firstLine="480" w:firstLineChars="200"/>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2.3 服务合同期满壹年后，</w:t>
      </w:r>
      <w:r>
        <w:rPr>
          <w:rFonts w:hint="default" w:ascii="宋体" w:hAnsi="宋体" w:eastAsia="宋体" w:cs="宋体"/>
          <w:color w:val="000000" w:themeColor="text1"/>
          <w:sz w:val="24"/>
          <w:szCs w:val="24"/>
          <w:highlight w:val="none"/>
          <w14:textFill>
            <w14:solidFill>
              <w14:schemeClr w14:val="tx1"/>
            </w14:solidFill>
          </w14:textFill>
        </w:rPr>
        <w:t>甲方向乙方支付合同总金额的</w:t>
      </w:r>
      <w:r>
        <w:rPr>
          <w:rFonts w:hint="eastAsia" w:ascii="宋体" w:hAnsi="宋体" w:eastAsia="宋体" w:cs="宋体"/>
          <w:color w:val="000000" w:themeColor="text1"/>
          <w:sz w:val="24"/>
          <w:szCs w:val="24"/>
          <w:highlight w:val="none"/>
          <w:lang w:val="en-US" w:eastAsia="zh-CN"/>
          <w14:textFill>
            <w14:solidFill>
              <w14:schemeClr w14:val="tx1"/>
            </w14:solidFill>
          </w14:textFill>
        </w:rPr>
        <w:t>20</w:t>
      </w:r>
      <w:r>
        <w:rPr>
          <w:rFonts w:hint="default"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spacing w:line="500" w:lineRule="exact"/>
        <w:ind w:left="0" w:leftChars="0" w:firstLine="480" w:firstLineChars="20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2.4</w:t>
      </w:r>
      <w:r>
        <w:rPr>
          <w:rFonts w:hint="default" w:ascii="宋体" w:hAnsi="宋体" w:eastAsia="宋体" w:cs="宋体"/>
          <w:color w:val="000000" w:themeColor="text1"/>
          <w:sz w:val="24"/>
          <w:szCs w:val="24"/>
          <w:highlight w:val="none"/>
          <w14:textFill>
            <w14:solidFill>
              <w14:schemeClr w14:val="tx1"/>
            </w14:solidFill>
          </w14:textFill>
        </w:rPr>
        <w:t>服务合同期满后30个工作日内，甲方针对乙方提供的</w:t>
      </w:r>
      <w:r>
        <w:rPr>
          <w:rFonts w:hint="eastAsia" w:ascii="宋体" w:hAnsi="宋体" w:eastAsia="宋体" w:cs="宋体"/>
          <w:color w:val="000000" w:themeColor="text1"/>
          <w:sz w:val="24"/>
          <w:szCs w:val="24"/>
          <w:highlight w:val="none"/>
          <w:lang w:val="en-US" w:eastAsia="zh-CN"/>
          <w14:textFill>
            <w14:solidFill>
              <w14:schemeClr w14:val="tx1"/>
            </w14:solidFill>
          </w14:textFill>
        </w:rPr>
        <w:t>咨询</w:t>
      </w:r>
      <w:r>
        <w:rPr>
          <w:rFonts w:hint="default" w:ascii="宋体" w:hAnsi="宋体" w:eastAsia="宋体" w:cs="宋体"/>
          <w:color w:val="000000" w:themeColor="text1"/>
          <w:sz w:val="24"/>
          <w:szCs w:val="24"/>
          <w:highlight w:val="none"/>
          <w14:textFill>
            <w14:solidFill>
              <w14:schemeClr w14:val="tx1"/>
            </w14:solidFill>
          </w14:textFill>
        </w:rPr>
        <w:t>服务进行</w:t>
      </w:r>
      <w:r>
        <w:rPr>
          <w:rFonts w:hint="eastAsia" w:ascii="宋体" w:hAnsi="宋体" w:eastAsia="宋体" w:cs="宋体"/>
          <w:color w:val="000000" w:themeColor="text1"/>
          <w:sz w:val="24"/>
          <w:szCs w:val="24"/>
          <w:highlight w:val="none"/>
          <w:lang w:val="en-US" w:eastAsia="zh-CN"/>
          <w14:textFill>
            <w14:solidFill>
              <w14:schemeClr w14:val="tx1"/>
            </w14:solidFill>
          </w14:textFill>
        </w:rPr>
        <w:t>验收，验收合格后支付合同剩余金额。</w:t>
      </w:r>
    </w:p>
    <w:p>
      <w:pPr>
        <w:spacing w:line="500" w:lineRule="exact"/>
        <w:ind w:left="0" w:leftChars="0" w:firstLine="480" w:firstLineChars="200"/>
        <w:rPr>
          <w:rFonts w:hint="default" w:ascii="宋体" w:hAnsi="宋体" w:eastAsia="宋体" w:cs="宋体"/>
          <w:color w:val="000000" w:themeColor="text1"/>
          <w:sz w:val="24"/>
          <w:szCs w:val="24"/>
          <w:highlight w:val="none"/>
          <w:lang w:val="en-US" w:eastAsia="zh-CN"/>
          <w14:textFill>
            <w14:solidFill>
              <w14:schemeClr w14:val="tx1"/>
            </w14:solidFill>
          </w14:textFill>
        </w:rPr>
      </w:pPr>
    </w:p>
    <w:p>
      <w:pPr>
        <w:spacing w:line="500" w:lineRule="exact"/>
        <w:ind w:left="0" w:leftChars="0" w:firstLine="480" w:firstLineChars="200"/>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2.5</w:t>
      </w:r>
      <w:r>
        <w:rPr>
          <w:rFonts w:hint="default" w:ascii="宋体" w:hAnsi="宋体" w:eastAsia="宋体" w:cs="宋体"/>
          <w:color w:val="000000" w:themeColor="text1"/>
          <w:sz w:val="24"/>
          <w:szCs w:val="24"/>
          <w:highlight w:val="none"/>
          <w14:textFill>
            <w14:solidFill>
              <w14:schemeClr w14:val="tx1"/>
            </w14:solidFill>
          </w14:textFill>
        </w:rPr>
        <w:t>乙方须向甲方出具合法有效全额的完税发票及凭证资料进行支付结算</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snapToGrid/>
        <w:spacing w:line="500" w:lineRule="exact"/>
        <w:ind w:left="-2" w:leftChars="-1" w:firstLine="480"/>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default" w:ascii="宋体" w:hAnsi="宋体" w:eastAsia="宋体" w:cs="宋体"/>
          <w:color w:val="000000" w:themeColor="text1"/>
          <w:kern w:val="2"/>
          <w:sz w:val="24"/>
          <w:szCs w:val="24"/>
          <w:highlight w:val="none"/>
          <w:lang w:val="en-US" w:eastAsia="zh-CN"/>
          <w14:textFill>
            <w14:solidFill>
              <w14:schemeClr w14:val="tx1"/>
            </w14:solidFill>
          </w14:textFill>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三、咨询服务建设方案要求：</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（一）整体目标</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 三至五年达到电子病历应用水平5级的测评要求</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 三至五年达到医院信息互联互通成熟度四级甲等的测评要求</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3. 三至五年达到医院智慧服务</w:t>
      </w:r>
      <w:r>
        <w:rPr>
          <w:rFonts w:hint="eastAsia" w:ascii="宋体" w:hAnsi="宋体" w:eastAsia="宋体" w:cs="宋体"/>
          <w:color w:val="000000" w:themeColor="text1"/>
          <w:sz w:val="24"/>
          <w:szCs w:val="24"/>
          <w:highlight w:val="none"/>
          <w:lang w:val="en-US" w:eastAsia="zh-CN"/>
          <w14:textFill>
            <w14:solidFill>
              <w14:schemeClr w14:val="tx1"/>
            </w14:solidFill>
          </w14:textFill>
        </w:rPr>
        <w:t>3级要求，</w:t>
      </w:r>
      <w:r>
        <w:rPr>
          <w:rFonts w:hint="default" w:ascii="宋体" w:hAnsi="宋体" w:eastAsia="宋体" w:cs="宋体"/>
          <w:color w:val="000000" w:themeColor="text1"/>
          <w:sz w:val="24"/>
          <w:szCs w:val="24"/>
          <w:highlight w:val="none"/>
          <w:lang w:val="en-US" w:eastAsia="zh-CN"/>
          <w14:textFill>
            <w14:solidFill>
              <w14:schemeClr w14:val="tx1"/>
            </w14:solidFill>
          </w14:textFill>
        </w:rPr>
        <w:t>智慧管理</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default" w:ascii="宋体" w:hAnsi="宋体" w:eastAsia="宋体" w:cs="宋体"/>
          <w:color w:val="000000" w:themeColor="text1"/>
          <w:sz w:val="24"/>
          <w:szCs w:val="24"/>
          <w:highlight w:val="none"/>
          <w:lang w:val="en-US" w:eastAsia="zh-CN"/>
          <w14:textFill>
            <w14:solidFill>
              <w14:schemeClr w14:val="tx1"/>
            </w14:solidFill>
          </w14:textFill>
        </w:rPr>
        <w:t>级要求</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4. 医院整体信息化能力进行提升</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5. 满足国家信息化规范及互联网+医疗健康相关要求</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6. 满足医院与医联体智慧医疗信息化服务体系协同发展的要求</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（二）总体要求</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default" w:ascii="宋体" w:hAnsi="宋体" w:eastAsia="宋体" w:cs="宋体"/>
          <w:color w:val="000000" w:themeColor="text1"/>
          <w:sz w:val="24"/>
          <w:szCs w:val="24"/>
          <w:highlight w:val="non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lang w:val="en-US" w:eastAsia="zh-CN"/>
          <w14:textFill>
            <w14:solidFill>
              <w14:schemeClr w14:val="tx1"/>
            </w14:solidFill>
          </w14:textFill>
        </w:rPr>
        <w:t>成都市龙泉驿区妇幼保健院相关要求</w:t>
      </w:r>
      <w:r>
        <w:rPr>
          <w:rFonts w:hint="default" w:ascii="宋体" w:hAnsi="宋体" w:eastAsia="宋体" w:cs="宋体"/>
          <w:color w:val="000000" w:themeColor="text1"/>
          <w:sz w:val="24"/>
          <w:szCs w:val="24"/>
          <w:highlight w:val="none"/>
          <w:lang w:val="en-US" w:eastAsia="zh-CN"/>
          <w14:textFill>
            <w14:solidFill>
              <w14:schemeClr w14:val="tx1"/>
            </w14:solidFill>
          </w14:textFill>
        </w:rPr>
        <w:t>进行可行性研究报告编制及初步方案设计，编制初步设计和工程概算、经济技术分析等，并确保初步设计、项目概算评审通过相关部门审批。后期设计需提供项目设计过程及</w:t>
      </w:r>
      <w:r>
        <w:rPr>
          <w:rFonts w:hint="eastAsia" w:ascii="宋体" w:hAnsi="宋体" w:eastAsia="宋体" w:cs="宋体"/>
          <w:color w:val="000000" w:themeColor="text1"/>
          <w:sz w:val="24"/>
          <w:szCs w:val="24"/>
          <w:highlight w:val="none"/>
          <w:lang w:val="en-US" w:eastAsia="zh-CN"/>
          <w14:textFill>
            <w14:solidFill>
              <w14:schemeClr w14:val="tx1"/>
            </w14:solidFill>
          </w14:textFill>
        </w:rPr>
        <w:t>售后</w:t>
      </w:r>
      <w:r>
        <w:rPr>
          <w:rFonts w:hint="default" w:ascii="宋体" w:hAnsi="宋体" w:eastAsia="宋体" w:cs="宋体"/>
          <w:color w:val="000000" w:themeColor="text1"/>
          <w:sz w:val="24"/>
          <w:szCs w:val="24"/>
          <w:highlight w:val="none"/>
          <w:lang w:val="en-US" w:eastAsia="zh-CN"/>
          <w14:textFill>
            <w14:solidFill>
              <w14:schemeClr w14:val="tx1"/>
            </w14:solidFill>
          </w14:textFill>
        </w:rPr>
        <w:t>阶段设计相关服务以及配合建设单位完成办理有关该项目的其它手续（包括设计变更、业务指导、协调等按有关规定应由设计单位提供的一切后续服务）。</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 可行性研究报告、初步设计方案编制必须以国家现行法律法规、四川省、成都市现行相关技术规定及有关标准、规范为依据，按投标承诺、合同书内容和设计质量要求按时提交各项成果文件。</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default" w:ascii="宋体" w:hAnsi="宋体" w:eastAsia="宋体" w:cs="宋体"/>
          <w:color w:val="000000" w:themeColor="text1"/>
          <w:sz w:val="24"/>
          <w:szCs w:val="24"/>
          <w:highlight w:val="none"/>
          <w:lang w:val="en-US" w:eastAsia="zh-CN"/>
          <w14:textFill>
            <w14:solidFill>
              <w14:schemeClr w14:val="tx1"/>
            </w14:solidFill>
          </w14:textFill>
        </w:rPr>
        <w:t>）方案编制内容</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我院信息化平台及应用建设包括但不限于应用服务、技术支撑平台和大数据管理平台等。基础支撑设施建设包括但不限于数据简化和标准、信息安全规范及运维保障体系。架构包括但不限于总体架构、业务架构、应用架构等。</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 项目设计及概算编制部分包括：</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1.1 现状分析、问题梳理及需求分析</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1.2 根据实现规划设计目标，梳理信息化建设总体建设思路及建设内容</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1.3 关键技术的比较、选型与风险分析</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1.4 医院信息化建设规划设计及投资概算编制。</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 规划设计内容包括：</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2.1 医院未来临床业务信息化支撑设计。在充分调研基础上对医院目前临床业务的优化以及未来新型业务开展的信息化需求进行全面的设计与优化，支撑医院相关业务的开展与优化</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2.2 医院信息集成平台设计方案。以医院信息平台功能指引、电子病历应用水平分级评审标准、医院信息互联互通标准化成熟度测评等国家标准为设计规范。实现基于实时异构架构的信息平台，在建设统一的院内临床数据中心的基础上，建立基于疾病、医生、患者等各方面的主题数据集，提供丰富的临床应用、医疗科研服务，对内集成临床信息系统、医院管理信息系统、电子病历浏览，对外连接医保、区域健康等多个信息系统，实现医院信息的规范化、一体化管理</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2.3 数据中心建设方案。根据医院的实际情况，建设医院数据中心，提供一个完整、可行性的数据中心建设方案，满足当前医院所有的应用系统建设的资源需求，包括计算资源、存储资源等</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2.4 信息安全设计方案。满足《信息安全等级保护管理办法》三级的要求，针对医院信息安全面临的现状和风险，提出医院网络安全、数据安全、系统安全的基本策略、软硬件配置、管理措施和办法</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2.5 人财物医院运营管理设计方案。对医院精细化管理的运营目标进行调研与规划，建立基于数据驱动的业务运营与管理模式</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2.6 “互联网+”医院设计方案。对未来互联网医院、医联体模式、远程协同医疗、无边界医院的打造、运营、管理，对数据的统一性、一致性进行设计，着重打造和运营无障碍就诊全流程模式</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2.7 数据上报服务设计方案。提供医院对外上报数据业务服务，实现院内数据的标准、规范上传，系统具备所需信息资源数据的采集、适配、转换和传输，支持对交换过程进行配置、监控、管理</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default" w:ascii="宋体" w:hAnsi="宋体" w:eastAsia="宋体" w:cs="宋体"/>
          <w:color w:val="000000" w:themeColor="text1"/>
          <w:sz w:val="24"/>
          <w:szCs w:val="24"/>
          <w:highlight w:val="none"/>
          <w:lang w:val="en-US" w:eastAsia="zh-CN"/>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2.8 投资概算编制方案。依据医院实际需求，本着客观、公正、科学的原则，在做好项目初步设计方案的基础上，做好投资概算编制方案</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2.9 医院信息化分期建设方案。依据医院实际情况，按照信息化逐步分阶段的建设逻辑，将医院未来五年的信息化建设分为数个建设期进行规划，制定医院信息化建设分阶段实施路线图（全过程的时间节点）</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2.10 其他方案。满足在调研过程中医院所提出的战略目标的信息化规划要求</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2.11 可提供信息化项目相关的技术咨询、招标指导、项目管理指导</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（三）服务要求</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 服务期限。</w:t>
      </w:r>
      <w:r>
        <w:rPr>
          <w:rFonts w:hint="default" w:ascii="宋体" w:hAnsi="宋体" w:eastAsia="宋体" w:cs="宋体"/>
          <w:color w:val="000000" w:themeColor="text1"/>
          <w:sz w:val="24"/>
          <w:szCs w:val="24"/>
          <w:highlight w:val="none"/>
          <w:lang w:val="en-US" w:eastAsia="zh-CN"/>
          <w14:textFill>
            <w14:solidFill>
              <w14:schemeClr w14:val="tx1"/>
            </w14:solidFill>
          </w14:textFill>
        </w:rPr>
        <w:t>投标人应仔细阅读</w:t>
      </w:r>
      <w:r>
        <w:rPr>
          <w:rFonts w:hint="eastAsia" w:ascii="宋体" w:hAnsi="宋体" w:eastAsia="宋体" w:cs="宋体"/>
          <w:color w:val="000000" w:themeColor="text1"/>
          <w:sz w:val="24"/>
          <w:szCs w:val="24"/>
          <w:highlight w:val="none"/>
          <w:lang w:val="en-US" w:eastAsia="zh-CN"/>
          <w14:textFill>
            <w14:solidFill>
              <w14:schemeClr w14:val="tx1"/>
            </w14:solidFill>
          </w14:textFill>
        </w:rPr>
        <w:t>比选</w:t>
      </w:r>
      <w:r>
        <w:rPr>
          <w:rFonts w:hint="default" w:ascii="宋体" w:hAnsi="宋体" w:eastAsia="宋体" w:cs="宋体"/>
          <w:color w:val="000000" w:themeColor="text1"/>
          <w:sz w:val="24"/>
          <w:szCs w:val="24"/>
          <w:highlight w:val="none"/>
          <w:lang w:val="en-US" w:eastAsia="zh-CN"/>
          <w14:textFill>
            <w14:solidFill>
              <w14:schemeClr w14:val="tx1"/>
            </w14:solidFill>
          </w14:textFill>
        </w:rPr>
        <w:t>文件，并接受</w:t>
      </w:r>
      <w:r>
        <w:rPr>
          <w:rFonts w:hint="eastAsia" w:ascii="宋体" w:hAnsi="宋体" w:eastAsia="宋体" w:cs="宋体"/>
          <w:color w:val="000000" w:themeColor="text1"/>
          <w:sz w:val="24"/>
          <w:szCs w:val="24"/>
          <w:highlight w:val="none"/>
          <w:lang w:val="en-US" w:eastAsia="zh-CN"/>
          <w14:textFill>
            <w14:solidFill>
              <w14:schemeClr w14:val="tx1"/>
            </w14:solidFill>
          </w14:textFill>
        </w:rPr>
        <w:t>比选</w:t>
      </w:r>
      <w:r>
        <w:rPr>
          <w:rFonts w:hint="default" w:ascii="宋体" w:hAnsi="宋体" w:eastAsia="宋体" w:cs="宋体"/>
          <w:color w:val="000000" w:themeColor="text1"/>
          <w:sz w:val="24"/>
          <w:szCs w:val="24"/>
          <w:highlight w:val="none"/>
          <w:lang w:val="en-US" w:eastAsia="zh-CN"/>
          <w14:textFill>
            <w14:solidFill>
              <w14:schemeClr w14:val="tx1"/>
            </w14:solidFill>
          </w14:textFill>
        </w:rPr>
        <w:t>文件要求和条件约束。项目整体服务期限为</w:t>
      </w:r>
      <w:r>
        <w:rPr>
          <w:rFonts w:hint="eastAsia" w:ascii="宋体" w:hAnsi="宋体" w:eastAsia="宋体" w:cs="宋体"/>
          <w:color w:val="000000" w:themeColor="text1"/>
          <w:sz w:val="24"/>
          <w:szCs w:val="24"/>
          <w:highlight w:val="none"/>
          <w:lang w:val="en-US" w:eastAsia="zh-CN"/>
          <w14:textFill>
            <w14:solidFill>
              <w14:schemeClr w14:val="tx1"/>
            </w14:solidFill>
          </w14:textFill>
        </w:rPr>
        <w:t>贰</w:t>
      </w:r>
      <w:r>
        <w:rPr>
          <w:rFonts w:hint="default" w:ascii="宋体" w:hAnsi="宋体" w:eastAsia="宋体" w:cs="宋体"/>
          <w:color w:val="000000" w:themeColor="text1"/>
          <w:sz w:val="24"/>
          <w:szCs w:val="24"/>
          <w:highlight w:val="none"/>
          <w:lang w:val="en-US" w:eastAsia="zh-CN"/>
          <w14:textFill>
            <w14:solidFill>
              <w14:schemeClr w14:val="tx1"/>
            </w14:solidFill>
          </w14:textFill>
        </w:rPr>
        <w:t>年。服务期内，按采购人需要完成按医院需求进行设计等相关服务以及配合建设单位完成有关该项目的其它需求（设计变更、业务指导等按有关规定应由设计单位提供的一切后续服务）。</w:t>
      </w:r>
    </w:p>
    <w:p>
      <w:pPr>
        <w:keepNext w:val="0"/>
        <w:keepLines w:val="0"/>
        <w:pageBreakBefore w:val="0"/>
        <w:widowControl/>
        <w:kinsoku/>
        <w:wordWrap/>
        <w:overflowPunct/>
        <w:topLinePunct w:val="0"/>
        <w:autoSpaceDE/>
        <w:autoSpaceDN/>
        <w:bidi w:val="0"/>
        <w:adjustRightInd/>
        <w:snapToGrid/>
        <w:spacing w:line="500" w:lineRule="exact"/>
        <w:ind w:left="-2" w:leftChars="-1"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 项目建设周期。中标合同签订后贰个月（60日）内完成编制项目可行性研究报告、初步设计方案、建设方案和投资估算。（报价包含在投标总价内，采购人不再支付费用）。</w:t>
      </w:r>
    </w:p>
    <w:p>
      <w:pPr>
        <w:pStyle w:val="7"/>
        <w:numPr>
          <w:ilvl w:val="-1"/>
          <w:numId w:val="0"/>
        </w:numPr>
        <w:snapToGrid w:val="0"/>
        <w:spacing w:before="120" w:after="120" w:line="360" w:lineRule="auto"/>
        <w:ind w:firstLine="0" w:firstLineChars="0"/>
        <w:rPr>
          <w:rFonts w:hint="eastAsia" w:ascii="宋体" w:hAnsi="宋体" w:eastAsia="宋体" w:cs="宋体"/>
          <w:bCs w:val="0"/>
          <w:color w:val="000000" w:themeColor="text1"/>
          <w:kern w:val="2"/>
          <w:sz w:val="24"/>
          <w:szCs w:val="24"/>
          <w:highlight w:val="none"/>
          <w:lang w:bidi="ar-SA"/>
          <w14:textFill>
            <w14:solidFill>
              <w14:schemeClr w14:val="tx1"/>
            </w14:solidFill>
          </w14:textFill>
        </w:rPr>
      </w:pPr>
    </w:p>
    <w:p>
      <w:pPr>
        <w:pStyle w:val="7"/>
        <w:numPr>
          <w:ilvl w:val="-1"/>
          <w:numId w:val="0"/>
        </w:numPr>
        <w:snapToGrid w:val="0"/>
        <w:spacing w:before="120" w:after="120" w:line="360" w:lineRule="auto"/>
        <w:ind w:firstLine="0" w:firstLineChars="0"/>
        <w:rPr>
          <w:rFonts w:hint="eastAsia" w:ascii="宋体" w:hAnsi="宋体" w:eastAsia="宋体" w:cs="宋体"/>
          <w:bCs w:val="0"/>
          <w:color w:val="000000" w:themeColor="text1"/>
          <w:kern w:val="2"/>
          <w:sz w:val="24"/>
          <w:szCs w:val="24"/>
          <w:highlight w:val="none"/>
          <w:lang w:bidi="ar-SA"/>
          <w14:textFill>
            <w14:solidFill>
              <w14:schemeClr w14:val="tx1"/>
            </w14:solidFill>
          </w14:textFill>
        </w:rPr>
      </w:pPr>
    </w:p>
    <w:p>
      <w:pPr>
        <w:pStyle w:val="7"/>
        <w:numPr>
          <w:ilvl w:val="-1"/>
          <w:numId w:val="0"/>
        </w:numPr>
        <w:snapToGrid w:val="0"/>
        <w:spacing w:before="120" w:after="120" w:line="360" w:lineRule="auto"/>
        <w:ind w:firstLine="0" w:firstLineChars="0"/>
        <w:rPr>
          <w:rFonts w:hint="eastAsia" w:ascii="宋体" w:hAnsi="宋体" w:eastAsia="宋体" w:cs="宋体"/>
          <w:bCs w:val="0"/>
          <w:color w:val="000000" w:themeColor="text1"/>
          <w:kern w:val="2"/>
          <w:sz w:val="24"/>
          <w:szCs w:val="24"/>
          <w:highlight w:val="none"/>
          <w:lang w:bidi="ar-SA"/>
          <w14:textFill>
            <w14:solidFill>
              <w14:schemeClr w14:val="tx1"/>
            </w14:solidFill>
          </w14:textFill>
        </w:rPr>
      </w:pPr>
    </w:p>
    <w:p>
      <w:pPr>
        <w:pStyle w:val="7"/>
        <w:numPr>
          <w:ilvl w:val="-1"/>
          <w:numId w:val="0"/>
        </w:numPr>
        <w:snapToGrid w:val="0"/>
        <w:spacing w:before="120" w:after="120" w:line="360" w:lineRule="auto"/>
        <w:ind w:firstLine="0" w:firstLineChars="0"/>
        <w:rPr>
          <w:rFonts w:hint="eastAsia" w:ascii="宋体" w:hAnsi="宋体" w:eastAsia="宋体" w:cs="宋体"/>
          <w:bCs w:val="0"/>
          <w:color w:val="000000" w:themeColor="text1"/>
          <w:kern w:val="2"/>
          <w:sz w:val="24"/>
          <w:szCs w:val="24"/>
          <w:highlight w:val="none"/>
          <w:lang w:bidi="ar-SA"/>
          <w14:textFill>
            <w14:solidFill>
              <w14:schemeClr w14:val="tx1"/>
            </w14:solidFill>
          </w14:textFill>
        </w:rPr>
      </w:pPr>
    </w:p>
    <w:p>
      <w:pPr>
        <w:pStyle w:val="7"/>
        <w:numPr>
          <w:ilvl w:val="-1"/>
          <w:numId w:val="0"/>
        </w:numPr>
        <w:snapToGrid w:val="0"/>
        <w:spacing w:before="120" w:after="120" w:line="360" w:lineRule="auto"/>
        <w:ind w:firstLine="0" w:firstLineChars="0"/>
        <w:rPr>
          <w:rFonts w:hint="eastAsia" w:ascii="宋体" w:hAnsi="宋体" w:eastAsia="宋体" w:cs="宋体"/>
          <w:bCs w:val="0"/>
          <w:color w:val="000000" w:themeColor="text1"/>
          <w:kern w:val="2"/>
          <w:sz w:val="24"/>
          <w:szCs w:val="24"/>
          <w:highlight w:val="none"/>
          <w:lang w:bidi="ar-SA"/>
          <w14:textFill>
            <w14:solidFill>
              <w14:schemeClr w14:val="tx1"/>
            </w14:solidFill>
          </w14:textFill>
        </w:rPr>
      </w:pPr>
    </w:p>
    <w:p>
      <w:pPr>
        <w:spacing w:line="360" w:lineRule="auto"/>
        <w:jc w:val="left"/>
        <w:rPr>
          <w:rFonts w:hint="eastAsia" w:ascii="华文中宋" w:hAnsi="华文中宋" w:eastAsia="华文中宋"/>
          <w:b/>
          <w:color w:val="000000" w:themeColor="text1"/>
          <w:sz w:val="32"/>
          <w:highlight w:val="none"/>
          <w14:textFill>
            <w14:solidFill>
              <w14:schemeClr w14:val="tx1"/>
            </w14:solidFill>
          </w14:textFill>
        </w:rPr>
        <w:sectPr>
          <w:footerReference r:id="rId3" w:type="default"/>
          <w:pgSz w:w="11906" w:h="16838"/>
          <w:pgMar w:top="850" w:right="1800" w:bottom="1440" w:left="1134" w:header="851" w:footer="992" w:gutter="0"/>
          <w:cols w:space="425" w:num="1"/>
          <w:docGrid w:type="lines" w:linePitch="312" w:charSpace="0"/>
        </w:sectPr>
      </w:pPr>
    </w:p>
    <w:p>
      <w:pPr>
        <w:pStyle w:val="5"/>
        <w:widowControl w:val="0"/>
        <w:numPr>
          <w:ilvl w:val="0"/>
          <w:numId w:val="0"/>
        </w:numPr>
        <w:spacing w:after="120"/>
        <w:jc w:val="both"/>
        <w:rPr>
          <w:rFonts w:hint="eastAsia" w:ascii="仿宋" w:hAnsi="仿宋" w:eastAsia="仿宋" w:cs="仿宋"/>
          <w:color w:val="000000" w:themeColor="text1"/>
          <w:szCs w:val="21"/>
          <w:highlight w:val="none"/>
          <w14:textFill>
            <w14:solidFill>
              <w14:schemeClr w14:val="tx1"/>
            </w14:solidFill>
          </w14:textFill>
        </w:rPr>
      </w:pPr>
    </w:p>
    <w:sectPr>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txbxContent>
              </v:textbox>
            </v:shape>
          </w:pict>
        </mc:Fallback>
      </mc:AlternateContent>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550AC"/>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0827C0"/>
    <w:rsid w:val="01261D95"/>
    <w:rsid w:val="0127533C"/>
    <w:rsid w:val="01AF66BC"/>
    <w:rsid w:val="022C5D48"/>
    <w:rsid w:val="02967325"/>
    <w:rsid w:val="02DA5839"/>
    <w:rsid w:val="0343669F"/>
    <w:rsid w:val="04557B19"/>
    <w:rsid w:val="049912AC"/>
    <w:rsid w:val="04C61298"/>
    <w:rsid w:val="05A83606"/>
    <w:rsid w:val="05B9677F"/>
    <w:rsid w:val="05F62118"/>
    <w:rsid w:val="06380241"/>
    <w:rsid w:val="069F560A"/>
    <w:rsid w:val="076404CB"/>
    <w:rsid w:val="07973EE6"/>
    <w:rsid w:val="07C94BE1"/>
    <w:rsid w:val="07DE6769"/>
    <w:rsid w:val="07E00A0F"/>
    <w:rsid w:val="087F78BA"/>
    <w:rsid w:val="091D0DD3"/>
    <w:rsid w:val="09296844"/>
    <w:rsid w:val="093F0D49"/>
    <w:rsid w:val="095A6A56"/>
    <w:rsid w:val="09CA2C87"/>
    <w:rsid w:val="09E54036"/>
    <w:rsid w:val="0A325ADB"/>
    <w:rsid w:val="0B216CF4"/>
    <w:rsid w:val="0B353F6E"/>
    <w:rsid w:val="0C580A4E"/>
    <w:rsid w:val="0DC161D1"/>
    <w:rsid w:val="0E237614"/>
    <w:rsid w:val="0EF652A0"/>
    <w:rsid w:val="0F26150C"/>
    <w:rsid w:val="0F3436E0"/>
    <w:rsid w:val="0F6D5B99"/>
    <w:rsid w:val="0FAA6A76"/>
    <w:rsid w:val="0FEE4D13"/>
    <w:rsid w:val="1061346A"/>
    <w:rsid w:val="12100E62"/>
    <w:rsid w:val="12542DDE"/>
    <w:rsid w:val="137B38DC"/>
    <w:rsid w:val="146B53DF"/>
    <w:rsid w:val="14C17D81"/>
    <w:rsid w:val="15D16FE9"/>
    <w:rsid w:val="16734728"/>
    <w:rsid w:val="16AC0EAA"/>
    <w:rsid w:val="16D20FE6"/>
    <w:rsid w:val="16E6474F"/>
    <w:rsid w:val="17373CEB"/>
    <w:rsid w:val="17500414"/>
    <w:rsid w:val="177D1B56"/>
    <w:rsid w:val="182425DC"/>
    <w:rsid w:val="182F4CA9"/>
    <w:rsid w:val="188C4A43"/>
    <w:rsid w:val="19232435"/>
    <w:rsid w:val="195C3707"/>
    <w:rsid w:val="19D76D7C"/>
    <w:rsid w:val="1A0D279E"/>
    <w:rsid w:val="1AFC6A9A"/>
    <w:rsid w:val="1B040AF0"/>
    <w:rsid w:val="1B7F6894"/>
    <w:rsid w:val="1B811C08"/>
    <w:rsid w:val="1CF66B35"/>
    <w:rsid w:val="1DD80BF7"/>
    <w:rsid w:val="1E8B6382"/>
    <w:rsid w:val="1E9268BE"/>
    <w:rsid w:val="1EFB394F"/>
    <w:rsid w:val="1F6D0630"/>
    <w:rsid w:val="1F953961"/>
    <w:rsid w:val="20F56432"/>
    <w:rsid w:val="21012DCF"/>
    <w:rsid w:val="21556F04"/>
    <w:rsid w:val="2173655D"/>
    <w:rsid w:val="21D342CD"/>
    <w:rsid w:val="22246CB4"/>
    <w:rsid w:val="235C54BC"/>
    <w:rsid w:val="2378512C"/>
    <w:rsid w:val="23C96556"/>
    <w:rsid w:val="23D504F4"/>
    <w:rsid w:val="23E24D51"/>
    <w:rsid w:val="23FC3FAF"/>
    <w:rsid w:val="246F59E3"/>
    <w:rsid w:val="24DA7466"/>
    <w:rsid w:val="256746D6"/>
    <w:rsid w:val="25777D91"/>
    <w:rsid w:val="26B72586"/>
    <w:rsid w:val="27057ABC"/>
    <w:rsid w:val="274A6DDF"/>
    <w:rsid w:val="2762237B"/>
    <w:rsid w:val="27750300"/>
    <w:rsid w:val="27807BE0"/>
    <w:rsid w:val="288C0FF6"/>
    <w:rsid w:val="291E49C7"/>
    <w:rsid w:val="29DA40B8"/>
    <w:rsid w:val="29FD5AAD"/>
    <w:rsid w:val="2AC140BC"/>
    <w:rsid w:val="2B4F2CEF"/>
    <w:rsid w:val="2B594437"/>
    <w:rsid w:val="2BBC1282"/>
    <w:rsid w:val="2BBD3D50"/>
    <w:rsid w:val="2C723060"/>
    <w:rsid w:val="2C7C3EDF"/>
    <w:rsid w:val="2CF35149"/>
    <w:rsid w:val="2DC8218D"/>
    <w:rsid w:val="2DDE5462"/>
    <w:rsid w:val="2E102ABB"/>
    <w:rsid w:val="2F5659F3"/>
    <w:rsid w:val="2F947791"/>
    <w:rsid w:val="30191AD6"/>
    <w:rsid w:val="30FB7E9E"/>
    <w:rsid w:val="3179279B"/>
    <w:rsid w:val="317D3526"/>
    <w:rsid w:val="323325C4"/>
    <w:rsid w:val="328238D1"/>
    <w:rsid w:val="328B017F"/>
    <w:rsid w:val="3292324B"/>
    <w:rsid w:val="329342B5"/>
    <w:rsid w:val="32C1268D"/>
    <w:rsid w:val="34594B05"/>
    <w:rsid w:val="35006E33"/>
    <w:rsid w:val="352E1AEE"/>
    <w:rsid w:val="35DB4C05"/>
    <w:rsid w:val="360B655D"/>
    <w:rsid w:val="36D901BE"/>
    <w:rsid w:val="36E36908"/>
    <w:rsid w:val="3794592A"/>
    <w:rsid w:val="38B05953"/>
    <w:rsid w:val="38B745E0"/>
    <w:rsid w:val="38EF77E6"/>
    <w:rsid w:val="393671C3"/>
    <w:rsid w:val="39401FF1"/>
    <w:rsid w:val="39932516"/>
    <w:rsid w:val="39D45C36"/>
    <w:rsid w:val="3A1640E8"/>
    <w:rsid w:val="3A8B6411"/>
    <w:rsid w:val="3B9D6276"/>
    <w:rsid w:val="3BA64AD4"/>
    <w:rsid w:val="3BFA37AC"/>
    <w:rsid w:val="3C533EEC"/>
    <w:rsid w:val="3C937993"/>
    <w:rsid w:val="3CD226F4"/>
    <w:rsid w:val="3CED2111"/>
    <w:rsid w:val="3D4663AF"/>
    <w:rsid w:val="3D774601"/>
    <w:rsid w:val="3D84553F"/>
    <w:rsid w:val="3E1A2C58"/>
    <w:rsid w:val="3E740EBA"/>
    <w:rsid w:val="3E8576EC"/>
    <w:rsid w:val="3E9C5D1B"/>
    <w:rsid w:val="3F703160"/>
    <w:rsid w:val="3FC91C02"/>
    <w:rsid w:val="3FF4285C"/>
    <w:rsid w:val="406C5A4F"/>
    <w:rsid w:val="407C7408"/>
    <w:rsid w:val="411E528A"/>
    <w:rsid w:val="41936CCC"/>
    <w:rsid w:val="419E4D6E"/>
    <w:rsid w:val="41BD651D"/>
    <w:rsid w:val="423934A4"/>
    <w:rsid w:val="42C159A0"/>
    <w:rsid w:val="43476B9D"/>
    <w:rsid w:val="435B4FED"/>
    <w:rsid w:val="435C1AAA"/>
    <w:rsid w:val="43923A02"/>
    <w:rsid w:val="43B17106"/>
    <w:rsid w:val="43FC3C13"/>
    <w:rsid w:val="44FF23DB"/>
    <w:rsid w:val="45DB5113"/>
    <w:rsid w:val="45FA22EB"/>
    <w:rsid w:val="460B369C"/>
    <w:rsid w:val="468123C6"/>
    <w:rsid w:val="46986527"/>
    <w:rsid w:val="471F4DD5"/>
    <w:rsid w:val="474B29D4"/>
    <w:rsid w:val="481D45BE"/>
    <w:rsid w:val="48E65B64"/>
    <w:rsid w:val="490907D4"/>
    <w:rsid w:val="4931425C"/>
    <w:rsid w:val="49974FAF"/>
    <w:rsid w:val="4A7E1328"/>
    <w:rsid w:val="4B623F21"/>
    <w:rsid w:val="4D2C0BB1"/>
    <w:rsid w:val="4D7A092A"/>
    <w:rsid w:val="4E023D7D"/>
    <w:rsid w:val="4E89227E"/>
    <w:rsid w:val="4EBA0170"/>
    <w:rsid w:val="4FD65049"/>
    <w:rsid w:val="50CB7074"/>
    <w:rsid w:val="511A355D"/>
    <w:rsid w:val="513762CB"/>
    <w:rsid w:val="51950AC2"/>
    <w:rsid w:val="51DB5939"/>
    <w:rsid w:val="53AB2F4B"/>
    <w:rsid w:val="53C36CCF"/>
    <w:rsid w:val="53E94A32"/>
    <w:rsid w:val="540A7EED"/>
    <w:rsid w:val="55684AE1"/>
    <w:rsid w:val="55B5596C"/>
    <w:rsid w:val="560C71D7"/>
    <w:rsid w:val="56D145E5"/>
    <w:rsid w:val="57003156"/>
    <w:rsid w:val="58885FE0"/>
    <w:rsid w:val="597B3B2B"/>
    <w:rsid w:val="59A61C5F"/>
    <w:rsid w:val="59D75EB0"/>
    <w:rsid w:val="5A2F5580"/>
    <w:rsid w:val="5A493582"/>
    <w:rsid w:val="5A7E7600"/>
    <w:rsid w:val="5B4D68C3"/>
    <w:rsid w:val="5BB61575"/>
    <w:rsid w:val="5BD4669C"/>
    <w:rsid w:val="5C001082"/>
    <w:rsid w:val="5C875D9C"/>
    <w:rsid w:val="5D1024FF"/>
    <w:rsid w:val="5DBD70E7"/>
    <w:rsid w:val="5EA6596C"/>
    <w:rsid w:val="5ED65EE2"/>
    <w:rsid w:val="5F4E6765"/>
    <w:rsid w:val="5FA97E40"/>
    <w:rsid w:val="6066691B"/>
    <w:rsid w:val="61F31C9B"/>
    <w:rsid w:val="62146F60"/>
    <w:rsid w:val="637B3DE7"/>
    <w:rsid w:val="63934138"/>
    <w:rsid w:val="63DB63D1"/>
    <w:rsid w:val="644416B3"/>
    <w:rsid w:val="65E158A6"/>
    <w:rsid w:val="662279A0"/>
    <w:rsid w:val="662B0176"/>
    <w:rsid w:val="66521231"/>
    <w:rsid w:val="677F45A8"/>
    <w:rsid w:val="683A1F7D"/>
    <w:rsid w:val="68E06C2C"/>
    <w:rsid w:val="68FD23E4"/>
    <w:rsid w:val="69B42AF7"/>
    <w:rsid w:val="69E41B3B"/>
    <w:rsid w:val="6B4E5B09"/>
    <w:rsid w:val="6BBB0CC6"/>
    <w:rsid w:val="6C4838F4"/>
    <w:rsid w:val="6D3179D4"/>
    <w:rsid w:val="6D521B17"/>
    <w:rsid w:val="6E4E616A"/>
    <w:rsid w:val="6E582E85"/>
    <w:rsid w:val="6EB1235D"/>
    <w:rsid w:val="6F520277"/>
    <w:rsid w:val="6F865AA7"/>
    <w:rsid w:val="6F8B7C47"/>
    <w:rsid w:val="6F9B6713"/>
    <w:rsid w:val="6FCB75A0"/>
    <w:rsid w:val="70965848"/>
    <w:rsid w:val="70BF5C7A"/>
    <w:rsid w:val="70DF1AC2"/>
    <w:rsid w:val="71A275AC"/>
    <w:rsid w:val="71BF242C"/>
    <w:rsid w:val="729A42C4"/>
    <w:rsid w:val="72A911B4"/>
    <w:rsid w:val="731E7004"/>
    <w:rsid w:val="73247AB1"/>
    <w:rsid w:val="73535858"/>
    <w:rsid w:val="73614861"/>
    <w:rsid w:val="73B97203"/>
    <w:rsid w:val="73BD7DF0"/>
    <w:rsid w:val="743215EF"/>
    <w:rsid w:val="75757044"/>
    <w:rsid w:val="75CD0D5C"/>
    <w:rsid w:val="764E0276"/>
    <w:rsid w:val="7807665E"/>
    <w:rsid w:val="782567A5"/>
    <w:rsid w:val="7A016EB6"/>
    <w:rsid w:val="7B7754C9"/>
    <w:rsid w:val="7C26177D"/>
    <w:rsid w:val="7C8E374D"/>
    <w:rsid w:val="7D01208A"/>
    <w:rsid w:val="7DBC263C"/>
    <w:rsid w:val="7DC56017"/>
    <w:rsid w:val="7DCB5EDE"/>
    <w:rsid w:val="7EC873B0"/>
    <w:rsid w:val="7F736048"/>
    <w:rsid w:val="7F895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6"/>
    <w:qFormat/>
    <w:uiPriority w:val="0"/>
    <w:pPr>
      <w:spacing w:after="120"/>
    </w:pPr>
  </w:style>
  <w:style w:type="paragraph" w:styleId="6">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7">
    <w:name w:val="Plain Text"/>
    <w:basedOn w:val="1"/>
    <w:qFormat/>
    <w:uiPriority w:val="0"/>
    <w:pPr>
      <w:autoSpaceDE w:val="0"/>
      <w:autoSpaceDN w:val="0"/>
      <w:adjustRightInd w:val="0"/>
    </w:pPr>
    <w:rPr>
      <w:rFonts w:ascii="宋体" w:hAnsi="Tms Rmn" w:cs="宋体"/>
      <w:szCs w:val="22"/>
    </w:rPr>
  </w:style>
  <w:style w:type="paragraph" w:styleId="8">
    <w:name w:val="Date"/>
    <w:basedOn w:val="1"/>
    <w:next w:val="1"/>
    <w:semiHidden/>
    <w:unhideWhenUsed/>
    <w:qFormat/>
    <w:uiPriority w:val="99"/>
    <w:pPr>
      <w:ind w:left="100" w:leftChars="2500"/>
    </w:pPr>
  </w:style>
  <w:style w:type="paragraph" w:styleId="9">
    <w:name w:val="Balloon Text"/>
    <w:basedOn w:val="1"/>
    <w:link w:val="29"/>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table of figures"/>
    <w:basedOn w:val="1"/>
    <w:next w:val="1"/>
    <w:unhideWhenUsed/>
    <w:qFormat/>
    <w:uiPriority w:val="99"/>
    <w:pPr>
      <w:ind w:left="200" w:leftChars="200" w:hanging="200" w:hangingChars="200"/>
    </w:p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Body Text First Indent"/>
    <w:basedOn w:val="5"/>
    <w:qFormat/>
    <w:uiPriority w:val="99"/>
    <w:pPr>
      <w:ind w:firstLine="420" w:firstLineChars="1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
    <w:name w:val="页眉 字符"/>
    <w:basedOn w:val="18"/>
    <w:link w:val="11"/>
    <w:qFormat/>
    <w:uiPriority w:val="99"/>
    <w:rPr>
      <w:sz w:val="18"/>
      <w:szCs w:val="18"/>
    </w:rPr>
  </w:style>
  <w:style w:type="character" w:customStyle="1" w:styleId="24">
    <w:name w:val="页脚 字符"/>
    <w:basedOn w:val="18"/>
    <w:link w:val="10"/>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3"/>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9"/>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paragraph" w:customStyle="1" w:styleId="32">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6221</Words>
  <Characters>6505</Characters>
  <Lines>26</Lines>
  <Paragraphs>7</Paragraphs>
  <TotalTime>36</TotalTime>
  <ScaleCrop>false</ScaleCrop>
  <LinksUpToDate>false</LinksUpToDate>
  <CharactersWithSpaces>6705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2023-12-04T07:45:00Z</cp:lastPrinted>
  <dcterms:modified xsi:type="dcterms:W3CDTF">2023-12-04T10:52:42Z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B0C23C56BD8F4834896BF3A295718518_13</vt:lpwstr>
  </property>
  <property fmtid="{D5CDD505-2E9C-101B-9397-08002B2CF9AE}" pid="4" name="commondata">
    <vt:lpwstr>eyJoZGlkIjoiNGFhNjBkNjkwYzVkMGJlYjhkODdmZTMyNDY5NTA5YWUifQ==</vt:lpwstr>
  </property>
</Properties>
</file>