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outlineLvl w:val="0"/>
        <w:rPr>
          <w:rFonts w:hint="eastAsia" w:ascii="Calibri" w:hAnsi="Calibri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附件三、综合评分明细表</w:t>
      </w:r>
    </w:p>
    <w:tbl>
      <w:tblPr>
        <w:tblStyle w:val="6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100"/>
        <w:gridCol w:w="495"/>
        <w:gridCol w:w="5468"/>
        <w:gridCol w:w="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  <w:t>评分因素及权重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  <w:t>分值</w:t>
            </w:r>
          </w:p>
        </w:tc>
        <w:tc>
          <w:tcPr>
            <w:tcW w:w="546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  <w:t>评分标准</w:t>
            </w:r>
          </w:p>
        </w:tc>
        <w:tc>
          <w:tcPr>
            <w:tcW w:w="9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0"/>
                <w:szCs w:val="20"/>
              </w:rPr>
              <w:t>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报价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20%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5468" w:type="dxa"/>
            <w:noWrap w:val="0"/>
            <w:vAlign w:val="center"/>
          </w:tcPr>
          <w:p>
            <w:pPr>
              <w:pStyle w:val="8"/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满足比选公告要求且投标价格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的平均价格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为评标基准价，价格分统一按照下列公式计算：</w:t>
            </w:r>
          </w:p>
          <w:p>
            <w:pPr>
              <w:pStyle w:val="8"/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投标报价得分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=[1-|(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投标报价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-投标平均价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)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/投标平均价|]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971" w:type="dxa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技术评分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50%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546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项目工作大纲</w:t>
            </w:r>
          </w:p>
          <w:p>
            <w:pPr>
              <w:numPr>
                <w:ilvl w:val="0"/>
                <w:numId w:val="0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投标人对本项目工作大纲是否全面、合理，思路是否清晰，是否针对本项目的工作制定了切实可行的总体部署。</w:t>
            </w:r>
          </w:p>
          <w:p>
            <w:pPr>
              <w:numPr>
                <w:ilvl w:val="0"/>
                <w:numId w:val="0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优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7-10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4-6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1-3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分，差0分。</w:t>
            </w:r>
          </w:p>
          <w:p>
            <w:pPr>
              <w:numPr>
                <w:ilvl w:val="0"/>
                <w:numId w:val="1"/>
              </w:num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项目技术解决方案</w:t>
            </w:r>
          </w:p>
          <w:p>
            <w:pPr>
              <w:numPr>
                <w:ilvl w:val="0"/>
                <w:numId w:val="0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投标人对本项目技术解决方案的技术路线是否科学、可行；对现状调研是否深入，对项目的理解和所在地区条件的认识 是否准确全面且总体实施方案是否清晰；是否具有项目所在地域 信息资源优势；是否根据项目实际情况制订合理且针对性强的解决方案。</w:t>
            </w:r>
          </w:p>
          <w:p>
            <w:pPr>
              <w:numPr>
                <w:ilvl w:val="0"/>
                <w:numId w:val="0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优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7-10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4-6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1-3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分，差0分。</w:t>
            </w:r>
          </w:p>
          <w:p>
            <w:pPr>
              <w:numPr>
                <w:ilvl w:val="0"/>
                <w:numId w:val="1"/>
              </w:num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项目重点、难点分析及应对措施</w:t>
            </w:r>
          </w:p>
          <w:p>
            <w:pPr>
              <w:numPr>
                <w:ilvl w:val="0"/>
                <w:numId w:val="0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投标人针对本项目的重点、难点分析是否全面、合理，应对措施是否得当。优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7-10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4-6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1-3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分，差0分</w:t>
            </w:r>
          </w:p>
          <w:p>
            <w:pPr>
              <w:numPr>
                <w:ilvl w:val="0"/>
                <w:numId w:val="1"/>
              </w:num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成果质量保证措施</w:t>
            </w:r>
          </w:p>
          <w:p>
            <w:pPr>
              <w:numPr>
                <w:ilvl w:val="0"/>
                <w:numId w:val="0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投标人针对本项目的成果质量保证措施是否全面、合理，保证措施是否得当，是否有针对本项目设计成果质量的保证措施。优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7-10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4-6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1-3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分，差0分</w:t>
            </w:r>
          </w:p>
          <w:p>
            <w:pPr>
              <w:numPr>
                <w:ilvl w:val="0"/>
                <w:numId w:val="1"/>
              </w:num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后续服务计划</w:t>
            </w:r>
          </w:p>
          <w:p>
            <w:pPr>
              <w:numPr>
                <w:ilvl w:val="0"/>
                <w:numId w:val="0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投标人针对本项目的后续服务计划是否详细、合理，是否能够承诺针对本项目提供及时、专业化、本地化的后续服务。优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7-10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4-6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1-3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分，差0分。</w:t>
            </w:r>
          </w:p>
        </w:tc>
        <w:tc>
          <w:tcPr>
            <w:tcW w:w="971" w:type="dxa"/>
            <w:noWrap w:val="0"/>
            <w:vAlign w:val="center"/>
          </w:tcPr>
          <w:p>
            <w:pPr>
              <w:snapToGrid w:val="0"/>
              <w:ind w:firstLine="360" w:firstLineChars="20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获奖情况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10%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468" w:type="dxa"/>
            <w:noWrap w:val="0"/>
            <w:vAlign w:val="center"/>
          </w:tcPr>
          <w:p>
            <w:p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年1月1日以来，投标人完成的规划、项目申请报告、项目建议书、可行性研究报告类业务，获得省级及以上奖项的，每一获奖情况项1分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，同一工程项目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最高得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，该项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最多加10分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。</w:t>
            </w:r>
          </w:p>
          <w:p>
            <w:p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注：需提供获奖证书扫描件或复印件并加盖单位公章，否则不得分。</w:t>
            </w:r>
          </w:p>
        </w:tc>
        <w:tc>
          <w:tcPr>
            <w:tcW w:w="971" w:type="dxa"/>
            <w:noWrap w:val="0"/>
            <w:vAlign w:val="center"/>
          </w:tcPr>
          <w:p>
            <w:pPr>
              <w:snapToGrid w:val="0"/>
              <w:ind w:firstLine="360" w:firstLineChars="20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项目人员配备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5%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46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项目负责人具有高级工程师证书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并同时具有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咨询工程师（投资）证书的得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分；</w:t>
            </w:r>
          </w:p>
          <w:p>
            <w:pPr>
              <w:numPr>
                <w:ilvl w:val="0"/>
                <w:numId w:val="2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项目成员具有咨询工程师（投资）证书的提供一人得1分，最多得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分；</w:t>
            </w:r>
          </w:p>
          <w:p>
            <w:pPr>
              <w:numPr>
                <w:ilvl w:val="0"/>
                <w:numId w:val="0"/>
              </w:numPr>
              <w:snapToGrid w:val="0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注：项目负责人及项目组成员需为本单位正式员工，需提供证书证明材料，否则不得分。</w:t>
            </w:r>
          </w:p>
        </w:tc>
        <w:tc>
          <w:tcPr>
            <w:tcW w:w="971" w:type="dxa"/>
            <w:noWrap w:val="0"/>
            <w:vAlign w:val="center"/>
          </w:tcPr>
          <w:p>
            <w:pPr>
              <w:snapToGrid w:val="0"/>
              <w:ind w:firstLine="360" w:firstLineChars="200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类似业绩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（15%）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5468" w:type="dxa"/>
            <w:noWrap w:val="0"/>
            <w:vAlign w:val="center"/>
          </w:tcPr>
          <w:p>
            <w:p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供应商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自2020年1月1日以来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具备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建筑工程可行性研究报告编制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业绩，每提供一项得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分，最多得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分。</w:t>
            </w:r>
          </w:p>
          <w:p>
            <w:p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注：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须提供相关合同或中标通知书复印件。提供的合同包括以下内容：首页、合同金额项、基本服务内容，双方盖章部分，并加盖投标人公。</w:t>
            </w:r>
          </w:p>
        </w:tc>
        <w:tc>
          <w:tcPr>
            <w:tcW w:w="971" w:type="dxa"/>
            <w:noWrap w:val="0"/>
            <w:vAlign w:val="center"/>
          </w:tcPr>
          <w:p>
            <w:pPr>
              <w:snapToGrid w:val="0"/>
              <w:ind w:firstLine="360" w:firstLineChars="200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</w:tr>
    </w:tbl>
    <w:p>
      <w:pPr>
        <w:tabs>
          <w:tab w:val="left" w:pos="3253"/>
        </w:tabs>
        <w:bidi w:val="0"/>
        <w:jc w:val="left"/>
        <w:rPr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5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5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2A932A"/>
    <w:multiLevelType w:val="singleLevel"/>
    <w:tmpl w:val="AA2A93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C36DCDB"/>
    <w:multiLevelType w:val="singleLevel"/>
    <w:tmpl w:val="FC36DC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wZDhmMmQzZmI3NGQzMDZmNTBjOWJhYmEyZTNiZmUifQ=="/>
  </w:docVars>
  <w:rsids>
    <w:rsidRoot w:val="4B4B4B6F"/>
    <w:rsid w:val="4B4B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99"/>
    <w:pPr>
      <w:ind w:firstLine="420" w:firstLineChars="100"/>
    </w:pPr>
  </w:style>
  <w:style w:type="paragraph" w:styleId="4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8">
    <w:name w:val="正文缩进3"/>
    <w:basedOn w:val="1"/>
    <w:qFormat/>
    <w:uiPriority w:val="0"/>
    <w:pPr>
      <w:ind w:firstLine="420"/>
    </w:pPr>
    <w:rPr>
      <w:rFonts w:ascii="宋体" w:hAnsi="Calibri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2023-12-25T02:25:00Z</dcterms:created>
  <dc:creator>邱玥</dc:creator>
  <cp:lastModifiedBy>邱玥</cp:lastModifiedBy>
  <dcterms:modified xsi:type="dcterms:W3CDTF">2023-12-25T02:26:12Z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096C73CB929641DDAA1D5E885520C228_11</vt:lpwstr>
  </property>
</Properties>
</file>