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方正公文小标宋" w:cs="Times New Roman"/>
          <w:sz w:val="32"/>
          <w:szCs w:val="32"/>
          <w:lang w:val="en-US" w:eastAsia="zh-CN"/>
        </w:rPr>
      </w:pPr>
      <w:bookmarkStart w:id="2" w:name="_GoBack"/>
      <w:bookmarkEnd w:id="2"/>
      <w:bookmarkStart w:id="0" w:name="_Hlt101233737"/>
      <w:bookmarkEnd w:id="0"/>
      <w:bookmarkStart w:id="1" w:name="_Hlt101843627"/>
      <w:bookmarkEnd w:id="1"/>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14:textFill>
            <w14:solidFill>
              <w14:schemeClr w14:val="tx1"/>
            </w14:solidFill>
          </w14:textFill>
        </w:rPr>
        <w:t>综合评分明细表</w:t>
      </w:r>
    </w:p>
    <w:tbl>
      <w:tblPr>
        <w:tblStyle w:val="18"/>
        <w:tblpPr w:leftFromText="180" w:rightFromText="180" w:vertAnchor="text" w:horzAnchor="page" w:tblpX="1344" w:tblpY="217"/>
        <w:tblOverlap w:val="never"/>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8"/>
        <w:gridCol w:w="1114"/>
        <w:gridCol w:w="624"/>
        <w:gridCol w:w="5866"/>
        <w:gridCol w:w="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3"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b/>
                <w:bCs/>
                <w:i w:val="0"/>
                <w:iCs w:val="0"/>
                <w:color w:val="000000"/>
                <w:kern w:val="0"/>
                <w:sz w:val="21"/>
                <w:szCs w:val="21"/>
                <w:u w:val="none"/>
                <w:lang w:val="en-US" w:eastAsia="zh-CN" w:bidi="ar"/>
              </w:rPr>
            </w:pPr>
            <w:r>
              <w:rPr>
                <w:rFonts w:hint="eastAsia" w:ascii="Times New Roman" w:hAnsi="Times New Roman" w:eastAsia="方正仿宋_GBK" w:cs="Times New Roman"/>
                <w:b/>
                <w:bCs/>
                <w:i w:val="0"/>
                <w:iCs w:val="0"/>
                <w:color w:val="000000"/>
                <w:kern w:val="0"/>
                <w:sz w:val="21"/>
                <w:szCs w:val="21"/>
                <w:u w:val="none"/>
                <w:lang w:val="en-US" w:eastAsia="zh-CN" w:bidi="ar"/>
              </w:rPr>
              <w:t>序号</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b/>
                <w:bCs/>
                <w:i w:val="0"/>
                <w:iCs w:val="0"/>
                <w:color w:val="000000"/>
                <w:kern w:val="2"/>
                <w:sz w:val="21"/>
                <w:szCs w:val="21"/>
                <w:u w:val="none"/>
                <w:lang w:val="en-US" w:eastAsia="zh-CN" w:bidi="ar-SA"/>
              </w:rPr>
            </w:pPr>
            <w:r>
              <w:rPr>
                <w:rFonts w:hint="default" w:ascii="Times New Roman" w:hAnsi="Times New Roman" w:eastAsia="方正仿宋_GBK" w:cs="Times New Roman"/>
                <w:b/>
                <w:bCs/>
                <w:i w:val="0"/>
                <w:iCs w:val="0"/>
                <w:color w:val="000000"/>
                <w:kern w:val="0"/>
                <w:sz w:val="21"/>
                <w:szCs w:val="21"/>
                <w:u w:val="none"/>
                <w:lang w:val="en-US" w:eastAsia="zh-CN" w:bidi="ar"/>
              </w:rPr>
              <w:t>评分因素及</w:t>
            </w:r>
            <w:r>
              <w:rPr>
                <w:rFonts w:hint="eastAsia" w:ascii="Times New Roman" w:hAnsi="Times New Roman" w:eastAsia="方正仿宋_GBK" w:cs="Times New Roman"/>
                <w:b/>
                <w:bCs/>
                <w:i w:val="0"/>
                <w:iCs w:val="0"/>
                <w:color w:val="000000"/>
                <w:kern w:val="0"/>
                <w:sz w:val="21"/>
                <w:szCs w:val="21"/>
                <w:u w:val="none"/>
                <w:lang w:val="en-US" w:eastAsia="zh-CN" w:bidi="ar"/>
              </w:rPr>
              <w:t>权重</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b/>
                <w:bCs/>
                <w:i w:val="0"/>
                <w:iCs w:val="0"/>
                <w:color w:val="000000"/>
                <w:kern w:val="0"/>
                <w:sz w:val="21"/>
                <w:szCs w:val="21"/>
                <w:u w:val="none"/>
                <w:lang w:val="en-US" w:eastAsia="zh-CN" w:bidi="ar"/>
              </w:rPr>
            </w:pPr>
            <w:r>
              <w:rPr>
                <w:rFonts w:hint="eastAsia" w:ascii="Times New Roman" w:hAnsi="Times New Roman" w:eastAsia="方正仿宋_GBK" w:cs="Times New Roman"/>
                <w:b/>
                <w:bCs/>
                <w:i w:val="0"/>
                <w:iCs w:val="0"/>
                <w:color w:val="000000"/>
                <w:kern w:val="0"/>
                <w:sz w:val="21"/>
                <w:szCs w:val="21"/>
                <w:u w:val="none"/>
                <w:lang w:val="en-US" w:eastAsia="zh-CN" w:bidi="ar"/>
              </w:rPr>
              <w:t>分值</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b/>
                <w:bCs/>
                <w:i w:val="0"/>
                <w:iCs w:val="0"/>
                <w:color w:val="000000"/>
                <w:kern w:val="0"/>
                <w:sz w:val="21"/>
                <w:szCs w:val="21"/>
                <w:u w:val="none"/>
                <w:lang w:val="en-US" w:eastAsia="zh-CN" w:bidi="ar"/>
              </w:rPr>
            </w:pPr>
            <w:r>
              <w:rPr>
                <w:rFonts w:hint="default" w:ascii="Times New Roman" w:hAnsi="Times New Roman" w:eastAsia="方正仿宋_GBK" w:cs="Times New Roman"/>
                <w:b/>
                <w:bCs/>
                <w:i w:val="0"/>
                <w:iCs w:val="0"/>
                <w:color w:val="000000"/>
                <w:kern w:val="0"/>
                <w:sz w:val="21"/>
                <w:szCs w:val="21"/>
                <w:u w:val="none"/>
                <w:lang w:val="en-US" w:eastAsia="zh-CN" w:bidi="ar"/>
              </w:rPr>
              <w:t>评分标准</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方正仿宋_GBK" w:cs="Times New Roman"/>
                <w:b/>
                <w:bCs/>
                <w:i w:val="0"/>
                <w:iCs w:val="0"/>
                <w:color w:val="000000"/>
                <w:sz w:val="21"/>
                <w:szCs w:val="21"/>
                <w:u w:val="none"/>
                <w:lang w:val="en-US" w:eastAsia="zh-CN"/>
              </w:rPr>
            </w:pPr>
            <w:r>
              <w:rPr>
                <w:rFonts w:hint="eastAsia" w:ascii="Times New Roman" w:hAnsi="Times New Roman" w:eastAsia="方正仿宋_GBK" w:cs="Times New Roman"/>
                <w:b/>
                <w:bCs/>
                <w:i w:val="0"/>
                <w:iCs w:val="0"/>
                <w:color w:val="000000"/>
                <w:sz w:val="21"/>
                <w:szCs w:val="21"/>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1</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Times New Roman" w:hAnsi="Times New Roman" w:eastAsia="方正仿宋_GBK" w:cs="Times New Roman"/>
                <w:i w:val="0"/>
                <w:iCs w:val="0"/>
                <w:color w:val="000000"/>
                <w:kern w:val="0"/>
                <w:sz w:val="21"/>
                <w:szCs w:val="21"/>
                <w:u w:val="none"/>
                <w:lang w:val="en-US" w:eastAsia="zh-CN" w:bidi="ar"/>
              </w:rPr>
            </w:pPr>
            <w:r>
              <w:rPr>
                <w:rFonts w:hint="default" w:ascii="Times New Roman" w:hAnsi="Times New Roman" w:eastAsia="方正仿宋_GBK" w:cs="Times New Roman"/>
                <w:i w:val="0"/>
                <w:iCs w:val="0"/>
                <w:color w:val="000000"/>
                <w:kern w:val="0"/>
                <w:sz w:val="21"/>
                <w:szCs w:val="21"/>
                <w:u w:val="none"/>
                <w:lang w:val="en-US" w:eastAsia="zh-CN" w:bidi="ar"/>
              </w:rPr>
              <w:t>报价</w:t>
            </w:r>
            <w:r>
              <w:rPr>
                <w:rFonts w:hint="eastAsia" w:ascii="Times New Roman" w:hAnsi="Times New Roman" w:eastAsia="方正仿宋_GBK" w:cs="Times New Roman"/>
                <w:i w:val="0"/>
                <w:iCs w:val="0"/>
                <w:color w:val="000000"/>
                <w:kern w:val="0"/>
                <w:sz w:val="21"/>
                <w:szCs w:val="21"/>
                <w:u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280" w:lineRule="exact"/>
              <w:jc w:val="both"/>
              <w:textAlignment w:val="center"/>
              <w:rPr>
                <w:rFonts w:hint="default" w:ascii="Times New Roman" w:hAnsi="Times New Roman" w:eastAsia="方正仿宋_GBK" w:cs="Times New Roman"/>
                <w:i w:val="0"/>
                <w:iCs w:val="0"/>
                <w:color w:val="000000"/>
                <w:sz w:val="21"/>
                <w:szCs w:val="21"/>
                <w:u w:val="none"/>
              </w:rPr>
            </w:pPr>
            <w:r>
              <w:rPr>
                <w:rFonts w:hint="eastAsia" w:ascii="Times New Roman" w:hAnsi="Times New Roman" w:eastAsia="方正仿宋_GBK" w:cs="Times New Roman"/>
                <w:i w:val="0"/>
                <w:iCs w:val="0"/>
                <w:color w:val="000000"/>
                <w:kern w:val="0"/>
                <w:sz w:val="21"/>
                <w:szCs w:val="21"/>
                <w:u w:val="none"/>
                <w:lang w:val="en-US" w:eastAsia="zh-CN" w:bidi="ar"/>
              </w:rPr>
              <w:t>（10%）</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10分</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仿宋" w:cs="Times New Roman"/>
                <w:color w:val="000000"/>
                <w:sz w:val="21"/>
                <w:szCs w:val="21"/>
              </w:rPr>
              <w:t>满足磋商文件要求且响应价格最低的响应报价为</w:t>
            </w:r>
            <w:r>
              <w:rPr>
                <w:rFonts w:hint="default" w:ascii="Times New Roman" w:hAnsi="Times New Roman" w:eastAsia="仿宋" w:cs="Times New Roman"/>
                <w:color w:val="000000"/>
                <w:sz w:val="21"/>
                <w:szCs w:val="21"/>
                <w:lang w:val="en-US" w:eastAsia="zh-CN"/>
              </w:rPr>
              <w:t>比选</w:t>
            </w:r>
            <w:r>
              <w:rPr>
                <w:rFonts w:hint="default" w:ascii="Times New Roman" w:hAnsi="Times New Roman" w:eastAsia="仿宋" w:cs="Times New Roman"/>
                <w:color w:val="000000"/>
                <w:sz w:val="21"/>
                <w:szCs w:val="21"/>
              </w:rPr>
              <w:t>基准价，其价格分为满分。其他供应商的价格分统一按照下列公式计算：</w:t>
            </w:r>
            <w:r>
              <w:rPr>
                <w:rFonts w:hint="default" w:ascii="Times New Roman" w:hAnsi="Times New Roman" w:eastAsia="仿宋" w:cs="Times New Roman"/>
                <w:color w:val="000000"/>
                <w:sz w:val="21"/>
                <w:szCs w:val="21"/>
                <w:lang w:val="en-US" w:eastAsia="zh-CN"/>
              </w:rPr>
              <w:t>比选</w:t>
            </w:r>
            <w:r>
              <w:rPr>
                <w:rFonts w:hint="default" w:ascii="Times New Roman" w:hAnsi="Times New Roman" w:eastAsia="仿宋" w:cs="Times New Roman"/>
                <w:color w:val="000000"/>
                <w:sz w:val="21"/>
                <w:szCs w:val="21"/>
              </w:rPr>
              <w:t>报价得分=(</w:t>
            </w:r>
            <w:r>
              <w:rPr>
                <w:rFonts w:hint="default" w:ascii="Times New Roman" w:hAnsi="Times New Roman" w:eastAsia="仿宋" w:cs="Times New Roman"/>
                <w:color w:val="000000"/>
                <w:sz w:val="21"/>
                <w:szCs w:val="21"/>
                <w:lang w:val="en-US" w:eastAsia="zh-CN"/>
              </w:rPr>
              <w:t>比选</w:t>
            </w:r>
            <w:r>
              <w:rPr>
                <w:rFonts w:hint="default" w:ascii="Times New Roman" w:hAnsi="Times New Roman" w:eastAsia="仿宋" w:cs="Times New Roman"/>
                <w:color w:val="000000"/>
                <w:sz w:val="21"/>
                <w:szCs w:val="21"/>
              </w:rPr>
              <w:t>基准价／最后</w:t>
            </w:r>
            <w:r>
              <w:rPr>
                <w:rFonts w:hint="default" w:ascii="Times New Roman" w:hAnsi="Times New Roman" w:eastAsia="仿宋" w:cs="Times New Roman"/>
                <w:color w:val="000000"/>
                <w:sz w:val="21"/>
                <w:szCs w:val="21"/>
                <w:lang w:val="en-US" w:eastAsia="zh-CN"/>
              </w:rPr>
              <w:t>比选</w:t>
            </w:r>
            <w:r>
              <w:rPr>
                <w:rFonts w:hint="default" w:ascii="Times New Roman" w:hAnsi="Times New Roman" w:eastAsia="仿宋" w:cs="Times New Roman"/>
                <w:color w:val="000000"/>
                <w:sz w:val="21"/>
                <w:szCs w:val="21"/>
              </w:rPr>
              <w:t>报价)*</w:t>
            </w:r>
            <w:r>
              <w:rPr>
                <w:rFonts w:hint="default" w:ascii="Times New Roman" w:hAnsi="Times New Roman" w:eastAsia="仿宋" w:cs="Times New Roman"/>
                <w:color w:val="000000"/>
                <w:sz w:val="21"/>
                <w:szCs w:val="21"/>
                <w:lang w:val="en-US" w:eastAsia="zh-CN"/>
              </w:rPr>
              <w:t>10</w:t>
            </w:r>
            <w:r>
              <w:rPr>
                <w:rFonts w:hint="default" w:ascii="Times New Roman" w:hAnsi="Times New Roman" w:eastAsia="仿宋" w:cs="Times New Roman"/>
                <w:color w:val="000000"/>
                <w:sz w:val="21"/>
                <w:szCs w:val="21"/>
              </w:rPr>
              <w:t>%*100</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6"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2</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服务要求响应</w:t>
            </w:r>
            <w:r>
              <w:rPr>
                <w:rFonts w:hint="eastAsia" w:ascii="Times New Roman" w:hAnsi="Times New Roman" w:eastAsia="方正仿宋_GBK" w:cs="Times New Roman"/>
                <w:i w:val="0"/>
                <w:iCs w:val="0"/>
                <w:color w:val="000000"/>
                <w:kern w:val="0"/>
                <w:sz w:val="21"/>
                <w:szCs w:val="21"/>
                <w:u w:val="none"/>
                <w:lang w:val="en-US" w:eastAsia="zh-CN" w:bidi="ar"/>
              </w:rPr>
              <w:t>（45%）</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45分</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line="400" w:lineRule="exact"/>
              <w:ind w:left="0" w:right="0"/>
              <w:jc w:val="both"/>
              <w:rPr>
                <w:rFonts w:hint="default" w:ascii="Times New Roman" w:hAnsi="Times New Roman" w:eastAsia="仿宋" w:cs="Times New Roman"/>
                <w:sz w:val="21"/>
                <w:szCs w:val="21"/>
                <w:highlight w:val="none"/>
                <w:lang w:val="en-US" w:eastAsia="zh-CN"/>
              </w:rPr>
            </w:pPr>
            <w:r>
              <w:rPr>
                <w:rFonts w:hint="default" w:ascii="Times New Roman" w:hAnsi="Times New Roman" w:eastAsia="仿宋" w:cs="Times New Roman"/>
                <w:sz w:val="21"/>
                <w:szCs w:val="21"/>
                <w:lang w:val="en-US" w:eastAsia="zh-CN"/>
              </w:rPr>
              <w:t>1、投标人针对技术服务要求中一般技术服务要求条款的响应得分规则如下</w:t>
            </w:r>
            <w:r>
              <w:rPr>
                <w:rFonts w:hint="default" w:ascii="Times New Roman" w:hAnsi="Times New Roman" w:eastAsia="仿宋" w:cs="Times New Roman"/>
                <w:sz w:val="21"/>
                <w:szCs w:val="21"/>
                <w:highlight w:val="none"/>
                <w:lang w:val="en-US" w:eastAsia="zh-CN"/>
              </w:rPr>
              <w:t>：一般技术服务要求条款</w:t>
            </w:r>
            <w:r>
              <w:rPr>
                <w:rFonts w:hint="default" w:ascii="Times New Roman" w:hAnsi="Times New Roman" w:eastAsia="仿宋" w:cs="Times New Roman"/>
                <w:sz w:val="21"/>
                <w:szCs w:val="21"/>
                <w:highlight w:val="none"/>
              </w:rPr>
              <w:t>响应得分=（投标人满足</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条款的数量÷</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条款的总数量）×</w:t>
            </w:r>
            <w:r>
              <w:rPr>
                <w:rFonts w:hint="default" w:ascii="Times New Roman" w:hAnsi="Times New Roman" w:eastAsia="仿宋" w:cs="Times New Roman"/>
                <w:sz w:val="21"/>
                <w:szCs w:val="21"/>
                <w:highlight w:val="none"/>
                <w:lang w:val="en-US" w:eastAsia="zh-CN"/>
              </w:rPr>
              <w:t>25分。（共50条，保留至小数点后2位）</w:t>
            </w:r>
          </w:p>
          <w:p>
            <w:pPr>
              <w:widowControl/>
              <w:spacing w:line="400" w:lineRule="exact"/>
              <w:rPr>
                <w:rFonts w:hint="default" w:ascii="Times New Roman" w:hAnsi="Times New Roman" w:eastAsia="仿宋" w:cs="Times New Roman"/>
                <w:sz w:val="21"/>
                <w:szCs w:val="21"/>
                <w:highlight w:val="none"/>
                <w:lang w:val="en-US" w:eastAsia="zh-CN"/>
              </w:rPr>
            </w:pPr>
            <w:r>
              <w:rPr>
                <w:rFonts w:hint="default" w:ascii="Times New Roman" w:hAnsi="Times New Roman" w:eastAsia="仿宋" w:cs="Times New Roman"/>
                <w:sz w:val="21"/>
                <w:szCs w:val="21"/>
                <w:highlight w:val="none"/>
              </w:rPr>
              <w:t>2、投标人针对 “</w:t>
            </w:r>
            <w:r>
              <w:rPr>
                <w:rFonts w:hint="default" w:ascii="Times New Roman" w:hAnsi="Times New Roman" w:eastAsia="方正仿宋_GBK" w:cs="Times New Roman"/>
                <w:kern w:val="0"/>
                <w:sz w:val="21"/>
                <w:szCs w:val="21"/>
                <w:highlight w:val="none"/>
                <w:lang w:val="en-US" w:eastAsia="zh-CN"/>
              </w:rPr>
              <w:t>▲</w:t>
            </w:r>
            <w:r>
              <w:rPr>
                <w:rFonts w:hint="default" w:ascii="Times New Roman" w:hAnsi="Times New Roman" w:eastAsia="仿宋" w:cs="Times New Roman"/>
                <w:sz w:val="21"/>
                <w:szCs w:val="21"/>
                <w:highlight w:val="none"/>
              </w:rPr>
              <w:t>”</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条款的响应得分规则如下：“</w:t>
            </w:r>
            <w:r>
              <w:rPr>
                <w:rFonts w:hint="default" w:ascii="Times New Roman" w:hAnsi="Times New Roman" w:eastAsia="方正仿宋_GBK" w:cs="Times New Roman"/>
                <w:kern w:val="0"/>
                <w:sz w:val="21"/>
                <w:szCs w:val="21"/>
                <w:highlight w:val="none"/>
                <w:lang w:val="en-US" w:eastAsia="zh-CN"/>
              </w:rPr>
              <w:t>▲</w:t>
            </w:r>
            <w:r>
              <w:rPr>
                <w:rFonts w:hint="default" w:ascii="Times New Roman" w:hAnsi="Times New Roman" w:eastAsia="仿宋" w:cs="Times New Roman"/>
                <w:sz w:val="21"/>
                <w:szCs w:val="21"/>
                <w:highlight w:val="none"/>
              </w:rPr>
              <w:t>”</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条款响应得分=（投标人满足“</w:t>
            </w:r>
            <w:r>
              <w:rPr>
                <w:rFonts w:hint="default" w:ascii="Times New Roman" w:hAnsi="Times New Roman" w:eastAsia="方正仿宋_GBK" w:cs="Times New Roman"/>
                <w:kern w:val="0"/>
                <w:sz w:val="21"/>
                <w:szCs w:val="21"/>
                <w:highlight w:val="none"/>
                <w:lang w:val="en-US" w:eastAsia="zh-CN"/>
              </w:rPr>
              <w:t>▲</w:t>
            </w:r>
            <w:r>
              <w:rPr>
                <w:rFonts w:hint="default" w:ascii="Times New Roman" w:hAnsi="Times New Roman" w:eastAsia="仿宋" w:cs="Times New Roman"/>
                <w:sz w:val="21"/>
                <w:szCs w:val="21"/>
                <w:highlight w:val="none"/>
              </w:rPr>
              <w:t>”</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条款的数量÷“</w:t>
            </w:r>
            <w:r>
              <w:rPr>
                <w:rFonts w:hint="default" w:ascii="Times New Roman" w:hAnsi="Times New Roman" w:eastAsia="方正仿宋_GBK" w:cs="Times New Roman"/>
                <w:kern w:val="0"/>
                <w:sz w:val="21"/>
                <w:szCs w:val="21"/>
                <w:highlight w:val="none"/>
                <w:lang w:val="en-US" w:eastAsia="zh-CN"/>
              </w:rPr>
              <w:t>▲</w:t>
            </w:r>
            <w:r>
              <w:rPr>
                <w:rFonts w:hint="default" w:ascii="Times New Roman" w:hAnsi="Times New Roman" w:eastAsia="仿宋" w:cs="Times New Roman"/>
                <w:sz w:val="21"/>
                <w:szCs w:val="21"/>
                <w:highlight w:val="none"/>
              </w:rPr>
              <w:t>”</w:t>
            </w:r>
            <w:r>
              <w:rPr>
                <w:rFonts w:hint="default" w:ascii="Times New Roman" w:hAnsi="Times New Roman" w:eastAsia="仿宋" w:cs="Times New Roman"/>
                <w:sz w:val="21"/>
                <w:szCs w:val="21"/>
                <w:highlight w:val="none"/>
                <w:lang w:val="en-US" w:eastAsia="zh-CN"/>
              </w:rPr>
              <w:t>技术服务要求</w:t>
            </w:r>
            <w:r>
              <w:rPr>
                <w:rFonts w:hint="default" w:ascii="Times New Roman" w:hAnsi="Times New Roman" w:eastAsia="仿宋" w:cs="Times New Roman"/>
                <w:sz w:val="21"/>
                <w:szCs w:val="21"/>
                <w:highlight w:val="none"/>
              </w:rPr>
              <w:t>条款的总数量）×</w:t>
            </w:r>
            <w:r>
              <w:rPr>
                <w:rFonts w:hint="default" w:ascii="Times New Roman" w:hAnsi="Times New Roman" w:eastAsia="仿宋" w:cs="Times New Roman"/>
                <w:sz w:val="21"/>
                <w:szCs w:val="21"/>
                <w:highlight w:val="none"/>
                <w:lang w:val="en-US" w:eastAsia="zh-CN"/>
              </w:rPr>
              <w:t>20分</w:t>
            </w:r>
            <w:r>
              <w:rPr>
                <w:rFonts w:hint="default" w:ascii="Times New Roman" w:hAnsi="Times New Roman" w:eastAsia="仿宋" w:cs="Times New Roman"/>
                <w:sz w:val="21"/>
                <w:szCs w:val="21"/>
                <w:highlight w:val="none"/>
              </w:rPr>
              <w:t>。</w:t>
            </w:r>
            <w:r>
              <w:rPr>
                <w:rFonts w:hint="default" w:ascii="Times New Roman" w:hAnsi="Times New Roman" w:eastAsia="仿宋" w:cs="Times New Roman"/>
                <w:sz w:val="21"/>
                <w:szCs w:val="21"/>
                <w:highlight w:val="none"/>
                <w:lang w:eastAsia="zh-CN"/>
              </w:rPr>
              <w:t>（</w:t>
            </w:r>
            <w:r>
              <w:rPr>
                <w:rFonts w:hint="default" w:ascii="Times New Roman" w:hAnsi="Times New Roman" w:eastAsia="仿宋" w:cs="Times New Roman"/>
                <w:sz w:val="21"/>
                <w:szCs w:val="21"/>
                <w:highlight w:val="none"/>
                <w:lang w:val="en-US" w:eastAsia="zh-CN"/>
              </w:rPr>
              <w:t>共13条,保留至小数点后2位</w:t>
            </w:r>
            <w:r>
              <w:rPr>
                <w:rFonts w:hint="default" w:ascii="Times New Roman" w:hAnsi="Times New Roman" w:eastAsia="仿宋" w:cs="Times New Roman"/>
                <w:sz w:val="21"/>
                <w:szCs w:val="21"/>
                <w:highlight w:val="none"/>
                <w:lang w:eastAsia="zh-CN"/>
              </w:rPr>
              <w:t>）</w:t>
            </w:r>
          </w:p>
          <w:p>
            <w:pPr>
              <w:pStyle w:val="7"/>
              <w:widowControl/>
              <w:spacing w:line="400" w:lineRule="exact"/>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仿宋" w:cs="Times New Roman"/>
                <w:sz w:val="21"/>
                <w:szCs w:val="21"/>
                <w:lang w:val="en-US" w:eastAsia="zh-CN"/>
              </w:rPr>
              <w:t>注：</w:t>
            </w: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w:t>
            </w:r>
            <w:r>
              <w:rPr>
                <w:rFonts w:hint="default" w:ascii="Times New Roman" w:hAnsi="Times New Roman" w:eastAsia="仿宋" w:cs="Times New Roman"/>
                <w:sz w:val="21"/>
                <w:szCs w:val="21"/>
                <w:highlight w:val="none"/>
              </w:rPr>
              <w:t>号条款为实质性要求，不参与本项评分。以一级序号阿拉伯数字（如 “1.”“2.”“3.”……）为</w:t>
            </w:r>
            <w:r>
              <w:rPr>
                <w:rFonts w:hint="default" w:ascii="Times New Roman" w:hAnsi="Times New Roman" w:eastAsia="仿宋" w:cs="Times New Roman"/>
                <w:sz w:val="21"/>
                <w:szCs w:val="21"/>
              </w:rPr>
              <w:t>一项，阿拉伯数字序号下有多级序号的，以最小级别序号为1项。</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7"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3</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方正仿宋_GBK" w:cs="Times New Roman"/>
                <w:i w:val="0"/>
                <w:iCs w:val="0"/>
                <w:color w:val="000000"/>
                <w:kern w:val="0"/>
                <w:sz w:val="21"/>
                <w:szCs w:val="21"/>
                <w:u w:val="none"/>
                <w:lang w:val="en-US" w:eastAsia="zh-CN" w:bidi="ar"/>
              </w:rPr>
              <w:t>业绩</w:t>
            </w:r>
            <w:r>
              <w:rPr>
                <w:rFonts w:hint="eastAsia" w:ascii="Times New Roman" w:hAnsi="Times New Roman" w:eastAsia="方正仿宋_GBK" w:cs="Times New Roman"/>
                <w:i w:val="0"/>
                <w:iCs w:val="0"/>
                <w:color w:val="000000"/>
                <w:kern w:val="0"/>
                <w:sz w:val="21"/>
                <w:szCs w:val="21"/>
                <w:u w:val="none"/>
                <w:lang w:val="en-US" w:eastAsia="zh-CN" w:bidi="ar"/>
              </w:rPr>
              <w:t>（</w:t>
            </w:r>
            <w:r>
              <w:rPr>
                <w:rFonts w:hint="default" w:ascii="Times New Roman" w:hAnsi="Times New Roman" w:eastAsia="方正仿宋_GBK" w:cs="Times New Roman"/>
                <w:i w:val="0"/>
                <w:iCs w:val="0"/>
                <w:color w:val="000000"/>
                <w:kern w:val="0"/>
                <w:sz w:val="21"/>
                <w:szCs w:val="21"/>
                <w:u w:val="none"/>
                <w:lang w:val="en-US" w:eastAsia="zh-CN" w:bidi="ar"/>
              </w:rPr>
              <w:t>10</w:t>
            </w:r>
            <w:r>
              <w:rPr>
                <w:rFonts w:hint="eastAsia" w:ascii="Times New Roman" w:hAnsi="Times New Roman" w:eastAsia="方正仿宋_GBK" w:cs="Times New Roman"/>
                <w:i w:val="0"/>
                <w:iCs w:val="0"/>
                <w:color w:val="000000"/>
                <w:kern w:val="0"/>
                <w:sz w:val="21"/>
                <w:szCs w:val="21"/>
                <w:u w:val="none"/>
                <w:lang w:val="en-US" w:eastAsia="zh-CN" w:bidi="ar"/>
              </w:rPr>
              <w:t>%）</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10分</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仿宋" w:cs="Times New Roman"/>
                <w:i w:val="0"/>
                <w:iCs w:val="0"/>
                <w:color w:val="000000"/>
                <w:kern w:val="0"/>
                <w:sz w:val="21"/>
                <w:szCs w:val="21"/>
                <w:u w:val="none"/>
                <w:lang w:val="en-US" w:eastAsia="zh-CN" w:bidi="ar"/>
              </w:rPr>
              <w:t>供应商提供自2021年以来完成过类似本项目案例的，每个案例得2分，最高得10分。（提供合同为完成过类似本项目的案例项目合同，提供项目合同复印件加盖供应商公章）</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4</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1"/>
                <w:szCs w:val="21"/>
                <w:u w:val="none"/>
              </w:rPr>
            </w:pPr>
            <w:r>
              <w:rPr>
                <w:rFonts w:hint="eastAsia" w:ascii="Times New Roman" w:hAnsi="Times New Roman" w:eastAsia="方正仿宋_GBK" w:cs="Times New Roman"/>
                <w:i w:val="0"/>
                <w:iCs w:val="0"/>
                <w:color w:val="000000"/>
                <w:kern w:val="0"/>
                <w:sz w:val="21"/>
                <w:szCs w:val="21"/>
                <w:u w:val="none"/>
                <w:lang w:val="en-US" w:eastAsia="zh-CN" w:bidi="ar"/>
              </w:rPr>
              <w:t>项目实施</w:t>
            </w:r>
            <w:r>
              <w:rPr>
                <w:rFonts w:hint="default" w:ascii="Times New Roman" w:hAnsi="Times New Roman" w:eastAsia="方正仿宋_GBK" w:cs="Times New Roman"/>
                <w:i w:val="0"/>
                <w:iCs w:val="0"/>
                <w:color w:val="000000"/>
                <w:kern w:val="0"/>
                <w:sz w:val="21"/>
                <w:szCs w:val="21"/>
                <w:u w:val="none"/>
                <w:lang w:val="en-US" w:eastAsia="zh-CN" w:bidi="ar"/>
              </w:rPr>
              <w:t>服务</w:t>
            </w:r>
            <w:r>
              <w:rPr>
                <w:rFonts w:hint="eastAsia" w:ascii="Times New Roman" w:hAnsi="Times New Roman" w:eastAsia="方正仿宋_GBK" w:cs="Times New Roman"/>
                <w:i w:val="0"/>
                <w:iCs w:val="0"/>
                <w:color w:val="000000"/>
                <w:kern w:val="0"/>
                <w:sz w:val="21"/>
                <w:szCs w:val="21"/>
                <w:u w:val="none"/>
                <w:lang w:val="en-US" w:eastAsia="zh-CN" w:bidi="ar"/>
              </w:rPr>
              <w:t>方案（30%）</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30分</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方正仿宋_GBK" w:cs="Times New Roman"/>
                <w:i w:val="0"/>
                <w:iCs w:val="0"/>
                <w:color w:val="000000"/>
                <w:sz w:val="21"/>
                <w:szCs w:val="21"/>
                <w:u w:val="none"/>
              </w:rPr>
            </w:pPr>
            <w:r>
              <w:rPr>
                <w:rFonts w:hint="default" w:ascii="Times New Roman" w:hAnsi="Times New Roman" w:eastAsia="仿宋" w:cs="Times New Roman"/>
                <w:kern w:val="2"/>
                <w:sz w:val="21"/>
                <w:szCs w:val="21"/>
                <w:lang w:val="en-US" w:eastAsia="zh-CN" w:bidi="ar"/>
              </w:rPr>
              <w:t>根据供应商对本项目提供的服务方案进行评审，方案内容包括：</w:t>
            </w:r>
            <w:r>
              <w:rPr>
                <w:rFonts w:hint="default" w:ascii="Times New Roman" w:hAnsi="Times New Roman" w:eastAsia="仿宋" w:cs="Times New Roman"/>
                <w:i w:val="0"/>
                <w:iCs w:val="0"/>
                <w:color w:val="000000"/>
                <w:kern w:val="2"/>
                <w:sz w:val="21"/>
                <w:szCs w:val="21"/>
                <w:u w:val="none"/>
                <w:lang w:val="en-US" w:eastAsia="zh-CN" w:bidi="ar"/>
              </w:rPr>
              <w:t>①项目管理配置方案、②项目实施计划安排方案、③售后服务方案、④质量保证方案、⑤ 培训方案，</w:t>
            </w:r>
            <w:r>
              <w:rPr>
                <w:rFonts w:hint="default" w:ascii="Times New Roman" w:hAnsi="Times New Roman" w:eastAsia="仿宋" w:cs="Times New Roman"/>
                <w:kern w:val="2"/>
                <w:sz w:val="21"/>
                <w:szCs w:val="21"/>
                <w:lang w:val="en-US" w:eastAsia="zh-CN" w:bidi="ar"/>
              </w:rPr>
              <w:t>得30分，每有一项内容缺失扣6分，扣完为止。以上每一项中每有 1 处存在内容缺陷或不合理的扣3分【内容缺陷或不合理是指：存在不适用项目实际情况的情形（与项目实际不匹配、不符合项目特点）、内容不完整不明确、不具备针对性可操作性、逻辑漏洞、前后不一致以及不可能实现的夸大情形等】，扣完为止。</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3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5</w:t>
            </w:r>
          </w:p>
        </w:tc>
        <w:tc>
          <w:tcPr>
            <w:tcW w:w="60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sz w:val="21"/>
                <w:szCs w:val="21"/>
                <w:u w:val="none"/>
              </w:rPr>
            </w:pPr>
            <w:r>
              <w:rPr>
                <w:rFonts w:hint="eastAsia" w:ascii="Times New Roman" w:hAnsi="Times New Roman" w:eastAsia="方正仿宋_GBK" w:cs="Times New Roman"/>
                <w:i w:val="0"/>
                <w:iCs w:val="0"/>
                <w:color w:val="000000"/>
                <w:kern w:val="0"/>
                <w:sz w:val="21"/>
                <w:szCs w:val="21"/>
                <w:u w:val="none"/>
                <w:lang w:val="en-US" w:eastAsia="zh-CN" w:bidi="ar"/>
              </w:rPr>
              <w:t>人员配置方案（5%）</w:t>
            </w:r>
          </w:p>
        </w:tc>
        <w:tc>
          <w:tcPr>
            <w:tcW w:w="33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方正仿宋_GBK" w:cs="Times New Roman"/>
                <w:i w:val="0"/>
                <w:iCs w:val="0"/>
                <w:color w:val="000000"/>
                <w:kern w:val="0"/>
                <w:sz w:val="21"/>
                <w:szCs w:val="21"/>
                <w:u w:val="none"/>
                <w:lang w:val="en-US" w:eastAsia="zh-CN" w:bidi="ar"/>
              </w:rPr>
            </w:pPr>
            <w:r>
              <w:rPr>
                <w:rFonts w:hint="eastAsia" w:ascii="Times New Roman" w:hAnsi="Times New Roman" w:eastAsia="方正仿宋_GBK" w:cs="Times New Roman"/>
                <w:i w:val="0"/>
                <w:iCs w:val="0"/>
                <w:color w:val="000000"/>
                <w:kern w:val="0"/>
                <w:sz w:val="21"/>
                <w:szCs w:val="21"/>
                <w:u w:val="none"/>
                <w:lang w:val="en-US" w:eastAsia="zh-CN" w:bidi="ar"/>
              </w:rPr>
              <w:t>5分</w:t>
            </w:r>
          </w:p>
        </w:tc>
        <w:tc>
          <w:tcPr>
            <w:tcW w:w="319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方正仿宋_GBK" w:cs="Times New Roman"/>
                <w:i w:val="0"/>
                <w:iCs w:val="0"/>
                <w:color w:val="000000"/>
                <w:sz w:val="21"/>
                <w:szCs w:val="21"/>
                <w:u w:val="none"/>
                <w:lang w:val="en-US"/>
              </w:rPr>
            </w:pPr>
            <w:r>
              <w:rPr>
                <w:rFonts w:hint="default" w:ascii="Times New Roman" w:hAnsi="Times New Roman" w:eastAsia="仿宋" w:cs="Times New Roman"/>
                <w:i w:val="0"/>
                <w:iCs w:val="0"/>
                <w:color w:val="auto"/>
                <w:kern w:val="0"/>
                <w:sz w:val="21"/>
                <w:szCs w:val="21"/>
                <w:u w:val="none"/>
                <w:lang w:val="en-US" w:eastAsia="zh-CN" w:bidi="ar"/>
              </w:rPr>
              <w:t>病案数字化服务团队至少2人，包含</w:t>
            </w:r>
            <w:r>
              <w:rPr>
                <w:rFonts w:hint="default" w:ascii="Times New Roman" w:hAnsi="Times New Roman" w:eastAsia="仿宋" w:cs="Times New Roman"/>
                <w:color w:val="auto"/>
                <w:kern w:val="0"/>
                <w:sz w:val="21"/>
                <w:szCs w:val="21"/>
                <w:lang w:val="en-US" w:eastAsia="zh-CN" w:bidi="ar"/>
              </w:rPr>
              <w:t>1名项目负责人及1名项目技术服务人员负责本服务项目相关工作，得3分，多配置1人加1分，最多得5分。注：以上人员需为供应商单位正式员工，提供人员配置一览表、劳动合同、社保或者其他证明工作关系的相关材料并加盖公章。</w:t>
            </w:r>
          </w:p>
        </w:tc>
        <w:tc>
          <w:tcPr>
            <w:tcW w:w="46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80" w:lineRule="exact"/>
              <w:rPr>
                <w:rFonts w:hint="default" w:ascii="Times New Roman" w:hAnsi="Times New Roman" w:eastAsia="方正仿宋_GBK" w:cs="Times New Roman"/>
                <w:i w:val="0"/>
                <w:iCs w:val="0"/>
                <w:color w:val="000000"/>
                <w:sz w:val="21"/>
                <w:szCs w:val="21"/>
                <w:u w:val="none"/>
              </w:rPr>
            </w:pPr>
          </w:p>
        </w:tc>
      </w:tr>
    </w:tbl>
    <w:p>
      <w:pPr>
        <w:rPr>
          <w:rFonts w:hint="eastAsia"/>
          <w:lang w:val="en-US" w:eastAsia="zh-CN"/>
        </w:rPr>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26771"/>
    <w:rsid w:val="01AF66BC"/>
    <w:rsid w:val="01CF5694"/>
    <w:rsid w:val="02110B3C"/>
    <w:rsid w:val="022C5D48"/>
    <w:rsid w:val="025B54DD"/>
    <w:rsid w:val="02967325"/>
    <w:rsid w:val="02DA5839"/>
    <w:rsid w:val="02E726C3"/>
    <w:rsid w:val="03B15391"/>
    <w:rsid w:val="03C70711"/>
    <w:rsid w:val="03DE5A5A"/>
    <w:rsid w:val="044E0E32"/>
    <w:rsid w:val="04557B19"/>
    <w:rsid w:val="04C61298"/>
    <w:rsid w:val="051C4A8C"/>
    <w:rsid w:val="05765F06"/>
    <w:rsid w:val="05A83606"/>
    <w:rsid w:val="05D83B97"/>
    <w:rsid w:val="05F62118"/>
    <w:rsid w:val="06380241"/>
    <w:rsid w:val="07C35693"/>
    <w:rsid w:val="07C94BE1"/>
    <w:rsid w:val="07DE6769"/>
    <w:rsid w:val="07E15B19"/>
    <w:rsid w:val="0842480A"/>
    <w:rsid w:val="08F84BE7"/>
    <w:rsid w:val="09372641"/>
    <w:rsid w:val="095A6A56"/>
    <w:rsid w:val="09CA2C87"/>
    <w:rsid w:val="09E54036"/>
    <w:rsid w:val="0A325ADB"/>
    <w:rsid w:val="0A5E03F3"/>
    <w:rsid w:val="0A7315F2"/>
    <w:rsid w:val="0ABF45FF"/>
    <w:rsid w:val="0B216CF4"/>
    <w:rsid w:val="0B226C57"/>
    <w:rsid w:val="0B353F6E"/>
    <w:rsid w:val="0BEA7692"/>
    <w:rsid w:val="0C4A01D3"/>
    <w:rsid w:val="0C637445"/>
    <w:rsid w:val="0C913FB2"/>
    <w:rsid w:val="0DBD4932"/>
    <w:rsid w:val="0DE63924"/>
    <w:rsid w:val="0E5D7936"/>
    <w:rsid w:val="0EAA135B"/>
    <w:rsid w:val="0F26150C"/>
    <w:rsid w:val="0F3436E0"/>
    <w:rsid w:val="0F5721E2"/>
    <w:rsid w:val="0F6D5B99"/>
    <w:rsid w:val="0F7756E1"/>
    <w:rsid w:val="1061346A"/>
    <w:rsid w:val="10C87F96"/>
    <w:rsid w:val="10CF6E57"/>
    <w:rsid w:val="10FC4462"/>
    <w:rsid w:val="11BD75F7"/>
    <w:rsid w:val="11C54B88"/>
    <w:rsid w:val="120D40DA"/>
    <w:rsid w:val="12100E62"/>
    <w:rsid w:val="12D612E8"/>
    <w:rsid w:val="12F150B5"/>
    <w:rsid w:val="12F26E2C"/>
    <w:rsid w:val="12FB03D7"/>
    <w:rsid w:val="13023513"/>
    <w:rsid w:val="132D2513"/>
    <w:rsid w:val="13337B71"/>
    <w:rsid w:val="137B38DC"/>
    <w:rsid w:val="13E63669"/>
    <w:rsid w:val="145F04F1"/>
    <w:rsid w:val="146B53DF"/>
    <w:rsid w:val="14BA32E1"/>
    <w:rsid w:val="15997A33"/>
    <w:rsid w:val="159E7CE1"/>
    <w:rsid w:val="15F341D2"/>
    <w:rsid w:val="16803C1A"/>
    <w:rsid w:val="16AC0EAA"/>
    <w:rsid w:val="16D20FE6"/>
    <w:rsid w:val="170D2487"/>
    <w:rsid w:val="17373CEB"/>
    <w:rsid w:val="174A3FF1"/>
    <w:rsid w:val="17500414"/>
    <w:rsid w:val="176A5B2B"/>
    <w:rsid w:val="178C3CF3"/>
    <w:rsid w:val="179C2C2A"/>
    <w:rsid w:val="18155A97"/>
    <w:rsid w:val="18254B65"/>
    <w:rsid w:val="182F4CA9"/>
    <w:rsid w:val="184039D1"/>
    <w:rsid w:val="1881137E"/>
    <w:rsid w:val="188C4A43"/>
    <w:rsid w:val="18B92AF3"/>
    <w:rsid w:val="18CC494A"/>
    <w:rsid w:val="193C52A5"/>
    <w:rsid w:val="195C3707"/>
    <w:rsid w:val="198232D2"/>
    <w:rsid w:val="19866520"/>
    <w:rsid w:val="19873C6D"/>
    <w:rsid w:val="1A7D7923"/>
    <w:rsid w:val="1B040AF0"/>
    <w:rsid w:val="1B7222D0"/>
    <w:rsid w:val="1B7F6894"/>
    <w:rsid w:val="1B811C08"/>
    <w:rsid w:val="1BC577D4"/>
    <w:rsid w:val="1BD01CD5"/>
    <w:rsid w:val="1BF6798D"/>
    <w:rsid w:val="1C403A91"/>
    <w:rsid w:val="1CA7512B"/>
    <w:rsid w:val="1CAF1766"/>
    <w:rsid w:val="1D69418F"/>
    <w:rsid w:val="1DA9388C"/>
    <w:rsid w:val="1DD80BF7"/>
    <w:rsid w:val="1E74103D"/>
    <w:rsid w:val="1E8B6382"/>
    <w:rsid w:val="1E9268BE"/>
    <w:rsid w:val="1EB678A8"/>
    <w:rsid w:val="1ECF4D3F"/>
    <w:rsid w:val="1EDB2E6A"/>
    <w:rsid w:val="1F59095F"/>
    <w:rsid w:val="1FF45575"/>
    <w:rsid w:val="209F0FF7"/>
    <w:rsid w:val="20F56432"/>
    <w:rsid w:val="21076199"/>
    <w:rsid w:val="210F23E7"/>
    <w:rsid w:val="214E4557"/>
    <w:rsid w:val="21C21B7D"/>
    <w:rsid w:val="22246CB4"/>
    <w:rsid w:val="22717D6E"/>
    <w:rsid w:val="23731E0F"/>
    <w:rsid w:val="2377795D"/>
    <w:rsid w:val="23D504F4"/>
    <w:rsid w:val="23DC1B5F"/>
    <w:rsid w:val="23DF51AB"/>
    <w:rsid w:val="246F59E3"/>
    <w:rsid w:val="24833D88"/>
    <w:rsid w:val="24AD52A9"/>
    <w:rsid w:val="24DA7466"/>
    <w:rsid w:val="24FE5B05"/>
    <w:rsid w:val="25184E18"/>
    <w:rsid w:val="252E3B84"/>
    <w:rsid w:val="25464A98"/>
    <w:rsid w:val="256078BF"/>
    <w:rsid w:val="256E49D5"/>
    <w:rsid w:val="25CD1C4A"/>
    <w:rsid w:val="26B2464D"/>
    <w:rsid w:val="26C03556"/>
    <w:rsid w:val="26D0702D"/>
    <w:rsid w:val="274674BE"/>
    <w:rsid w:val="27807BE0"/>
    <w:rsid w:val="27B15F4F"/>
    <w:rsid w:val="27E2526A"/>
    <w:rsid w:val="28AF339E"/>
    <w:rsid w:val="29254783"/>
    <w:rsid w:val="29D06D9D"/>
    <w:rsid w:val="29D67050"/>
    <w:rsid w:val="29DA40B8"/>
    <w:rsid w:val="29FD5AAD"/>
    <w:rsid w:val="2A4915D0"/>
    <w:rsid w:val="2A7523C5"/>
    <w:rsid w:val="2A931417"/>
    <w:rsid w:val="2AD91234"/>
    <w:rsid w:val="2AE9690F"/>
    <w:rsid w:val="2B4F2CEF"/>
    <w:rsid w:val="2BBC1282"/>
    <w:rsid w:val="2BC2399E"/>
    <w:rsid w:val="2BEC1302"/>
    <w:rsid w:val="2C182D55"/>
    <w:rsid w:val="2C673F8F"/>
    <w:rsid w:val="2CAE1BBE"/>
    <w:rsid w:val="2CED706D"/>
    <w:rsid w:val="2CF35149"/>
    <w:rsid w:val="2CFC0B7C"/>
    <w:rsid w:val="2D4D7629"/>
    <w:rsid w:val="2D990AC0"/>
    <w:rsid w:val="2E102ABB"/>
    <w:rsid w:val="2F097580"/>
    <w:rsid w:val="2F601896"/>
    <w:rsid w:val="2FA31782"/>
    <w:rsid w:val="2FCA7EE6"/>
    <w:rsid w:val="2FDD2EE6"/>
    <w:rsid w:val="2FEE15A0"/>
    <w:rsid w:val="303A1F05"/>
    <w:rsid w:val="30FB7E9E"/>
    <w:rsid w:val="318F0210"/>
    <w:rsid w:val="31BC4D7D"/>
    <w:rsid w:val="323325C4"/>
    <w:rsid w:val="324D2A55"/>
    <w:rsid w:val="3292324B"/>
    <w:rsid w:val="33504021"/>
    <w:rsid w:val="34010228"/>
    <w:rsid w:val="34270BD4"/>
    <w:rsid w:val="34386CDD"/>
    <w:rsid w:val="349124F1"/>
    <w:rsid w:val="34C82575"/>
    <w:rsid w:val="34D357FA"/>
    <w:rsid w:val="364F220D"/>
    <w:rsid w:val="367774C5"/>
    <w:rsid w:val="368E6692"/>
    <w:rsid w:val="36B064EA"/>
    <w:rsid w:val="36D84407"/>
    <w:rsid w:val="3700570C"/>
    <w:rsid w:val="3701395E"/>
    <w:rsid w:val="3794592A"/>
    <w:rsid w:val="3822667D"/>
    <w:rsid w:val="38AA704F"/>
    <w:rsid w:val="38B05953"/>
    <w:rsid w:val="38B745E0"/>
    <w:rsid w:val="3998117C"/>
    <w:rsid w:val="39D31E8F"/>
    <w:rsid w:val="39D45C36"/>
    <w:rsid w:val="39EB38A2"/>
    <w:rsid w:val="3A8B6411"/>
    <w:rsid w:val="3AA7481D"/>
    <w:rsid w:val="3B3D6F2F"/>
    <w:rsid w:val="3B4007CD"/>
    <w:rsid w:val="3B58176B"/>
    <w:rsid w:val="3B911029"/>
    <w:rsid w:val="3B9D6276"/>
    <w:rsid w:val="3BAB20EB"/>
    <w:rsid w:val="3BFA37AC"/>
    <w:rsid w:val="3C2A2DAA"/>
    <w:rsid w:val="3C2F4ACA"/>
    <w:rsid w:val="3CB815AB"/>
    <w:rsid w:val="3CD75987"/>
    <w:rsid w:val="3D4663AF"/>
    <w:rsid w:val="3DF02037"/>
    <w:rsid w:val="3F2F17A1"/>
    <w:rsid w:val="3F3423F7"/>
    <w:rsid w:val="3F703160"/>
    <w:rsid w:val="3FC91C02"/>
    <w:rsid w:val="3FD80FD4"/>
    <w:rsid w:val="407C7408"/>
    <w:rsid w:val="408D1678"/>
    <w:rsid w:val="40E13EB9"/>
    <w:rsid w:val="411E528A"/>
    <w:rsid w:val="414A7CB0"/>
    <w:rsid w:val="415C79E3"/>
    <w:rsid w:val="418D28C4"/>
    <w:rsid w:val="419E4D6E"/>
    <w:rsid w:val="41BA5992"/>
    <w:rsid w:val="41D852BC"/>
    <w:rsid w:val="41E023C2"/>
    <w:rsid w:val="42220C2D"/>
    <w:rsid w:val="423934A4"/>
    <w:rsid w:val="42C159A0"/>
    <w:rsid w:val="435B4FED"/>
    <w:rsid w:val="43923A02"/>
    <w:rsid w:val="440920A4"/>
    <w:rsid w:val="44CD3311"/>
    <w:rsid w:val="45260A34"/>
    <w:rsid w:val="453A003B"/>
    <w:rsid w:val="45DB5113"/>
    <w:rsid w:val="45FA22EB"/>
    <w:rsid w:val="45FD1795"/>
    <w:rsid w:val="460B369C"/>
    <w:rsid w:val="46494F46"/>
    <w:rsid w:val="468679DC"/>
    <w:rsid w:val="46F012F9"/>
    <w:rsid w:val="473A67BC"/>
    <w:rsid w:val="474D674C"/>
    <w:rsid w:val="47EB0E3A"/>
    <w:rsid w:val="480D1E68"/>
    <w:rsid w:val="48427933"/>
    <w:rsid w:val="487D6BBD"/>
    <w:rsid w:val="488F68F0"/>
    <w:rsid w:val="48F7696F"/>
    <w:rsid w:val="490907D4"/>
    <w:rsid w:val="4931425C"/>
    <w:rsid w:val="493D5329"/>
    <w:rsid w:val="497C7373"/>
    <w:rsid w:val="49974FAF"/>
    <w:rsid w:val="4B204A7D"/>
    <w:rsid w:val="4B3317B5"/>
    <w:rsid w:val="4B5D638A"/>
    <w:rsid w:val="4B623F21"/>
    <w:rsid w:val="4B924DF7"/>
    <w:rsid w:val="4BB072A9"/>
    <w:rsid w:val="4C324162"/>
    <w:rsid w:val="4C3B3017"/>
    <w:rsid w:val="4C7D00D2"/>
    <w:rsid w:val="4CEA7853"/>
    <w:rsid w:val="4CF34D42"/>
    <w:rsid w:val="4D115B26"/>
    <w:rsid w:val="4D6026FD"/>
    <w:rsid w:val="4D7A092A"/>
    <w:rsid w:val="4DAF067F"/>
    <w:rsid w:val="4DCB2178"/>
    <w:rsid w:val="4E0758E7"/>
    <w:rsid w:val="4F251D5C"/>
    <w:rsid w:val="4FD65049"/>
    <w:rsid w:val="4FE85264"/>
    <w:rsid w:val="50083210"/>
    <w:rsid w:val="50C20C69"/>
    <w:rsid w:val="50CB7074"/>
    <w:rsid w:val="50EC0D83"/>
    <w:rsid w:val="511A355D"/>
    <w:rsid w:val="513762CB"/>
    <w:rsid w:val="51703763"/>
    <w:rsid w:val="51950AC2"/>
    <w:rsid w:val="51F37EF0"/>
    <w:rsid w:val="52065E75"/>
    <w:rsid w:val="523A5B1F"/>
    <w:rsid w:val="524349D3"/>
    <w:rsid w:val="52C00CFA"/>
    <w:rsid w:val="52D01FDF"/>
    <w:rsid w:val="52D23FA9"/>
    <w:rsid w:val="538452A3"/>
    <w:rsid w:val="53E94A32"/>
    <w:rsid w:val="543C3DD0"/>
    <w:rsid w:val="544E36DD"/>
    <w:rsid w:val="548337AD"/>
    <w:rsid w:val="54A47FA0"/>
    <w:rsid w:val="55254864"/>
    <w:rsid w:val="55610F84"/>
    <w:rsid w:val="5579070C"/>
    <w:rsid w:val="55B5596C"/>
    <w:rsid w:val="569808BE"/>
    <w:rsid w:val="56D145E5"/>
    <w:rsid w:val="57790E97"/>
    <w:rsid w:val="5802534B"/>
    <w:rsid w:val="59A61C5F"/>
    <w:rsid w:val="59C83A10"/>
    <w:rsid w:val="59F004D4"/>
    <w:rsid w:val="5A07278A"/>
    <w:rsid w:val="5A2D1CC6"/>
    <w:rsid w:val="5A315A59"/>
    <w:rsid w:val="5A5F6122"/>
    <w:rsid w:val="5AD05D7A"/>
    <w:rsid w:val="5AF76ED7"/>
    <w:rsid w:val="5AFC7E15"/>
    <w:rsid w:val="5B5F2152"/>
    <w:rsid w:val="5BB61575"/>
    <w:rsid w:val="5C3D2493"/>
    <w:rsid w:val="5C675762"/>
    <w:rsid w:val="5C8C51C9"/>
    <w:rsid w:val="5CFF599B"/>
    <w:rsid w:val="5D283143"/>
    <w:rsid w:val="5D63417B"/>
    <w:rsid w:val="5D8878AB"/>
    <w:rsid w:val="5DC3307D"/>
    <w:rsid w:val="5EA6596C"/>
    <w:rsid w:val="5EA92062"/>
    <w:rsid w:val="5ED65EE2"/>
    <w:rsid w:val="5F092B01"/>
    <w:rsid w:val="5FE55220"/>
    <w:rsid w:val="60132AC1"/>
    <w:rsid w:val="6066691B"/>
    <w:rsid w:val="60997887"/>
    <w:rsid w:val="60AA3E6F"/>
    <w:rsid w:val="60AC159B"/>
    <w:rsid w:val="611B5C25"/>
    <w:rsid w:val="611F2602"/>
    <w:rsid w:val="614222FA"/>
    <w:rsid w:val="61F31C9B"/>
    <w:rsid w:val="61FC3938"/>
    <w:rsid w:val="62146F60"/>
    <w:rsid w:val="62312A9A"/>
    <w:rsid w:val="62367CC1"/>
    <w:rsid w:val="62546789"/>
    <w:rsid w:val="628B3E72"/>
    <w:rsid w:val="63667240"/>
    <w:rsid w:val="637B3DE7"/>
    <w:rsid w:val="63934138"/>
    <w:rsid w:val="63F62C16"/>
    <w:rsid w:val="6416019A"/>
    <w:rsid w:val="64A77044"/>
    <w:rsid w:val="64E62082"/>
    <w:rsid w:val="65A96DEB"/>
    <w:rsid w:val="65DA51F7"/>
    <w:rsid w:val="65DB4654"/>
    <w:rsid w:val="65E158A6"/>
    <w:rsid w:val="66650F64"/>
    <w:rsid w:val="66D460EA"/>
    <w:rsid w:val="67077750"/>
    <w:rsid w:val="672D629E"/>
    <w:rsid w:val="6793044A"/>
    <w:rsid w:val="67AF7FBD"/>
    <w:rsid w:val="68831B76"/>
    <w:rsid w:val="68D45F2D"/>
    <w:rsid w:val="68E06C2C"/>
    <w:rsid w:val="68FD23E4"/>
    <w:rsid w:val="69623539"/>
    <w:rsid w:val="69747633"/>
    <w:rsid w:val="69A71894"/>
    <w:rsid w:val="69AE677E"/>
    <w:rsid w:val="69B42AF7"/>
    <w:rsid w:val="69E41B3B"/>
    <w:rsid w:val="6A1720EA"/>
    <w:rsid w:val="6A3B101A"/>
    <w:rsid w:val="6A9D70E3"/>
    <w:rsid w:val="6AAB0C17"/>
    <w:rsid w:val="6AB04A26"/>
    <w:rsid w:val="6B4E5B09"/>
    <w:rsid w:val="6B680BAF"/>
    <w:rsid w:val="6BBB0CC6"/>
    <w:rsid w:val="6C07486C"/>
    <w:rsid w:val="6C0762BF"/>
    <w:rsid w:val="6C4838F4"/>
    <w:rsid w:val="6C5F1FB2"/>
    <w:rsid w:val="6D0A0A3D"/>
    <w:rsid w:val="6D2319CD"/>
    <w:rsid w:val="6D564F88"/>
    <w:rsid w:val="6D6D6950"/>
    <w:rsid w:val="6D9939E0"/>
    <w:rsid w:val="6DBB3B60"/>
    <w:rsid w:val="6E364F94"/>
    <w:rsid w:val="6E582E85"/>
    <w:rsid w:val="6E8C507E"/>
    <w:rsid w:val="6E91041D"/>
    <w:rsid w:val="6EA93056"/>
    <w:rsid w:val="6EB1235D"/>
    <w:rsid w:val="6F3F5BD9"/>
    <w:rsid w:val="6F520277"/>
    <w:rsid w:val="6F6F4C02"/>
    <w:rsid w:val="6F9B6713"/>
    <w:rsid w:val="70531E2E"/>
    <w:rsid w:val="70BF5C7A"/>
    <w:rsid w:val="70C77600"/>
    <w:rsid w:val="71145A61"/>
    <w:rsid w:val="71333A0D"/>
    <w:rsid w:val="713954C7"/>
    <w:rsid w:val="714874B8"/>
    <w:rsid w:val="71867FE1"/>
    <w:rsid w:val="719170B1"/>
    <w:rsid w:val="71BE1F67"/>
    <w:rsid w:val="72582CB9"/>
    <w:rsid w:val="729A42C4"/>
    <w:rsid w:val="72A6014E"/>
    <w:rsid w:val="731E7004"/>
    <w:rsid w:val="73371E60"/>
    <w:rsid w:val="7353288B"/>
    <w:rsid w:val="73535858"/>
    <w:rsid w:val="73774085"/>
    <w:rsid w:val="7379541C"/>
    <w:rsid w:val="73B97203"/>
    <w:rsid w:val="73BD7DF0"/>
    <w:rsid w:val="73C940A2"/>
    <w:rsid w:val="7400407A"/>
    <w:rsid w:val="74697AB7"/>
    <w:rsid w:val="754E0BFA"/>
    <w:rsid w:val="75CD0D5C"/>
    <w:rsid w:val="75E63744"/>
    <w:rsid w:val="760213C2"/>
    <w:rsid w:val="7610431D"/>
    <w:rsid w:val="764E0276"/>
    <w:rsid w:val="76F472B2"/>
    <w:rsid w:val="770C71DA"/>
    <w:rsid w:val="773F3DD7"/>
    <w:rsid w:val="774B1AB0"/>
    <w:rsid w:val="775F21CA"/>
    <w:rsid w:val="776C1F7B"/>
    <w:rsid w:val="77BD5437"/>
    <w:rsid w:val="7807665E"/>
    <w:rsid w:val="785E75C1"/>
    <w:rsid w:val="787E5EB6"/>
    <w:rsid w:val="792953D2"/>
    <w:rsid w:val="79B23279"/>
    <w:rsid w:val="7A3946F5"/>
    <w:rsid w:val="7B0E55E8"/>
    <w:rsid w:val="7B4909FD"/>
    <w:rsid w:val="7B6B2B44"/>
    <w:rsid w:val="7B7754C9"/>
    <w:rsid w:val="7C1A7CA3"/>
    <w:rsid w:val="7CB3340E"/>
    <w:rsid w:val="7CFB08E4"/>
    <w:rsid w:val="7EDC1B88"/>
    <w:rsid w:val="7F8518D8"/>
    <w:rsid w:val="7FB3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8"/>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7"/>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next w:val="1"/>
    <w:autoRedefine/>
    <w:qFormat/>
    <w:uiPriority w:val="0"/>
    <w:pPr>
      <w:spacing w:after="120"/>
    </w:pPr>
  </w:style>
  <w:style w:type="paragraph" w:styleId="8">
    <w:name w:val="Plain Text"/>
    <w:basedOn w:val="1"/>
    <w:link w:val="36"/>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31"/>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8"/>
    <w:autoRedefine/>
    <w:semiHidden/>
    <w:unhideWhenUsed/>
    <w:qFormat/>
    <w:uiPriority w:val="99"/>
    <w:rPr>
      <w:b/>
      <w:bCs/>
    </w:rPr>
  </w:style>
  <w:style w:type="paragraph" w:styleId="17">
    <w:name w:val="Body Text First Indent"/>
    <w:basedOn w:val="7"/>
    <w:autoRedefine/>
    <w:qFormat/>
    <w:uiPriority w:val="99"/>
    <w:pPr>
      <w:ind w:firstLine="420" w:firstLineChars="100"/>
    </w:p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Hyperlink"/>
    <w:basedOn w:val="20"/>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20"/>
    <w:autoRedefine/>
    <w:semiHidden/>
    <w:unhideWhenUsed/>
    <w:qFormat/>
    <w:uiPriority w:val="99"/>
    <w:rPr>
      <w:sz w:val="21"/>
      <w:szCs w:val="21"/>
    </w:rPr>
  </w:style>
  <w:style w:type="paragraph" w:customStyle="1" w:styleId="24">
    <w:name w:val="Body Text First Indent 21"/>
    <w:basedOn w:val="1"/>
    <w:autoRedefine/>
    <w:qFormat/>
    <w:uiPriority w:val="0"/>
    <w:pPr>
      <w:ind w:firstLine="420" w:firstLineChars="200"/>
    </w:pPr>
  </w:style>
  <w:style w:type="character" w:customStyle="1" w:styleId="25">
    <w:name w:val="页眉 字符"/>
    <w:basedOn w:val="20"/>
    <w:link w:val="12"/>
    <w:autoRedefine/>
    <w:qFormat/>
    <w:uiPriority w:val="99"/>
    <w:rPr>
      <w:sz w:val="18"/>
      <w:szCs w:val="18"/>
    </w:rPr>
  </w:style>
  <w:style w:type="character" w:customStyle="1" w:styleId="26">
    <w:name w:val="页脚 字符"/>
    <w:basedOn w:val="20"/>
    <w:link w:val="11"/>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标题 2 字符"/>
    <w:basedOn w:val="20"/>
    <w:link w:val="2"/>
    <w:autoRedefine/>
    <w:qFormat/>
    <w:uiPriority w:val="9"/>
    <w:rPr>
      <w:rFonts w:ascii="Arial" w:hAnsi="Arial" w:eastAsia="黑体" w:cs="Times New Roman"/>
      <w:b/>
      <w:bCs/>
      <w:sz w:val="32"/>
      <w:szCs w:val="32"/>
    </w:rPr>
  </w:style>
  <w:style w:type="character" w:customStyle="1" w:styleId="29">
    <w:name w:val="列出段落 Char"/>
    <w:link w:val="30"/>
    <w:autoRedefine/>
    <w:qFormat/>
    <w:uiPriority w:val="34"/>
    <w:rPr>
      <w:rFonts w:ascii="宋体" w:hAnsi="宋体" w:cs="宋体"/>
      <w:sz w:val="24"/>
      <w:szCs w:val="24"/>
    </w:rPr>
  </w:style>
  <w:style w:type="paragraph" w:customStyle="1" w:styleId="30">
    <w:name w:val="列出段落1"/>
    <w:basedOn w:val="1"/>
    <w:link w:val="29"/>
    <w:autoRedefine/>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0"/>
    <w:autoRedefine/>
    <w:semiHidden/>
    <w:qFormat/>
    <w:uiPriority w:val="99"/>
    <w:rPr>
      <w:sz w:val="18"/>
      <w:szCs w:val="18"/>
    </w:rPr>
  </w:style>
  <w:style w:type="character" w:customStyle="1" w:styleId="32">
    <w:name w:val="font11"/>
    <w:basedOn w:val="20"/>
    <w:autoRedefine/>
    <w:qFormat/>
    <w:uiPriority w:val="0"/>
    <w:rPr>
      <w:rFonts w:hint="eastAsia" w:ascii="宋体" w:hAnsi="宋体" w:eastAsia="宋体" w:cs="宋体"/>
      <w:color w:val="000000"/>
      <w:sz w:val="21"/>
      <w:szCs w:val="21"/>
      <w:u w:val="none"/>
    </w:rPr>
  </w:style>
  <w:style w:type="character" w:customStyle="1" w:styleId="33">
    <w:name w:val="font01"/>
    <w:basedOn w:val="20"/>
    <w:autoRedefine/>
    <w:qFormat/>
    <w:uiPriority w:val="0"/>
    <w:rPr>
      <w:rFonts w:ascii="Calibri" w:hAnsi="Calibri" w:cs="Calibri"/>
      <w:color w:val="000000"/>
      <w:sz w:val="21"/>
      <w:szCs w:val="21"/>
      <w:u w:val="none"/>
    </w:rPr>
  </w:style>
  <w:style w:type="character" w:customStyle="1" w:styleId="34">
    <w:name w:val="font41"/>
    <w:basedOn w:val="20"/>
    <w:autoRedefine/>
    <w:qFormat/>
    <w:uiPriority w:val="0"/>
    <w:rPr>
      <w:rFonts w:hint="eastAsia" w:ascii="宋体" w:hAnsi="宋体" w:eastAsia="宋体" w:cs="宋体"/>
      <w:color w:val="000000"/>
      <w:sz w:val="18"/>
      <w:szCs w:val="18"/>
      <w:u w:val="none"/>
    </w:rPr>
  </w:style>
  <w:style w:type="paragraph" w:customStyle="1" w:styleId="35">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8"/>
    <w:autoRedefine/>
    <w:qFormat/>
    <w:uiPriority w:val="0"/>
    <w:rPr>
      <w:rFonts w:ascii="宋体" w:hAnsi="Tms Rmn"/>
      <w:sz w:val="21"/>
    </w:rPr>
  </w:style>
  <w:style w:type="character" w:customStyle="1" w:styleId="37">
    <w:name w:val="批注文字 字符"/>
    <w:basedOn w:val="20"/>
    <w:link w:val="5"/>
    <w:autoRedefine/>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autoRedefine/>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autoRedefine/>
    <w:qFormat/>
    <w:uiPriority w:val="1"/>
    <w:rPr>
      <w:rFonts w:ascii="宋体" w:hAnsi="宋体" w:eastAsia="宋体" w:cs="宋体"/>
      <w:lang w:val="zh-CN" w:eastAsia="zh-CN" w:bidi="zh-CN"/>
    </w:rPr>
  </w:style>
  <w:style w:type="paragraph" w:customStyle="1" w:styleId="40">
    <w:name w:val="正文缩进3"/>
    <w:basedOn w:val="1"/>
    <w:autoRedefine/>
    <w:qFormat/>
    <w:uiPriority w:val="0"/>
    <w:pPr>
      <w:ind w:firstLine="420"/>
    </w:pPr>
    <w:rPr>
      <w:rFonts w:ascii="宋体" w:hAnsi="Calibri"/>
      <w:kern w:val="0"/>
      <w:sz w:val="34"/>
      <w:szCs w:val="20"/>
    </w:rPr>
  </w:style>
  <w:style w:type="character" w:customStyle="1" w:styleId="41">
    <w:name w:val="font31"/>
    <w:basedOn w:val="20"/>
    <w:autoRedefine/>
    <w:qFormat/>
    <w:uiPriority w:val="0"/>
    <w:rPr>
      <w:rFonts w:hint="default" w:ascii="Times New Roman" w:hAnsi="Times New Roman" w:cs="Times New Roman"/>
      <w:color w:val="333333"/>
      <w:sz w:val="20"/>
      <w:szCs w:val="20"/>
      <w:u w:val="none"/>
    </w:rPr>
  </w:style>
  <w:style w:type="paragraph" w:customStyle="1" w:styleId="4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16</TotalTime>
  <ScaleCrop>false</ScaleCrop>
  <LinksUpToDate>false</LinksUpToDate>
  <CharactersWithSpaces>3474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2024-02-19T06:58:42Z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5F7034E730E14DB9BC21C50D3F4394C1_13</vt:lpwstr>
  </property>
</Properties>
</file>