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ascii="Arial" w:hAnsi="Arial" w:eastAsia="黑体" w:cs="Times New Roman"/>
          <w:b/>
          <w:bCs/>
          <w:color w:val="000000" w:themeColor="text1"/>
          <w:sz w:val="32"/>
          <w:szCs w:val="32"/>
          <w14:textFill>
            <w14:solidFill>
              <w14:schemeClr w14:val="tx1"/>
            </w14:solidFill>
          </w14:textFill>
        </w:rPr>
      </w:pPr>
      <w:bookmarkStart w:id="0" w:name="_Hlt101233737"/>
      <w:bookmarkEnd w:id="0"/>
      <w:bookmarkStart w:id="1" w:name="_Hlt101843627"/>
      <w:bookmarkEnd w:id="1"/>
      <w:r>
        <w:rPr>
          <w:rFonts w:hint="eastAsia" w:ascii="Arial" w:hAnsi="Arial" w:eastAsia="黑体" w:cs="Times New Roman"/>
          <w:b/>
          <w:bCs/>
          <w:color w:val="000000" w:themeColor="text1"/>
          <w:sz w:val="32"/>
          <w:szCs w:val="32"/>
          <w14:textFill>
            <w14:solidFill>
              <w14:schemeClr w14:val="tx1"/>
            </w14:solidFill>
          </w14:textFill>
        </w:rPr>
        <w:t>附件1：项目需求</w:t>
      </w:r>
    </w:p>
    <w:p>
      <w:pPr>
        <w:spacing w:line="500" w:lineRule="exact"/>
        <w:rPr>
          <w:color w:val="000000" w:themeColor="text1"/>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（本章中标注“★”的条款为本项目的实质性条款，投标人不满足的，将按照无效投标处理。）</w:t>
      </w:r>
    </w:p>
    <w:p>
      <w:pPr>
        <w:numPr>
          <w:ilvl w:val="0"/>
          <w:numId w:val="2"/>
        </w:numPr>
        <w:adjustRightInd w:val="0"/>
        <w:snapToGrid w:val="0"/>
        <w:spacing w:line="500" w:lineRule="exact"/>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项目概述：</w:t>
      </w:r>
    </w:p>
    <w:p>
      <w:pPr>
        <w:spacing w:line="500" w:lineRule="exact"/>
        <w:ind w:firstLine="480" w:firstLineChars="200"/>
        <w:rPr>
          <w:rFonts w:ascii="宋体" w:hAnsi="宋体" w:eastAsia="宋体" w:cs="宋体"/>
          <w:sz w:val="24"/>
        </w:rPr>
      </w:pPr>
      <w:r>
        <w:rPr>
          <w:rFonts w:hint="eastAsia" w:ascii="宋体" w:hAnsi="宋体" w:eastAsia="宋体" w:cs="宋体"/>
          <w:sz w:val="24"/>
        </w:rPr>
        <w:t>本项目</w:t>
      </w:r>
      <w:r>
        <w:rPr>
          <w:rFonts w:hint="eastAsia" w:ascii="宋体" w:hAnsi="宋体" w:eastAsia="宋体" w:cs="宋体"/>
          <w:sz w:val="24"/>
          <w:lang w:val="en-US" w:eastAsia="zh-CN"/>
        </w:rPr>
        <w:t>2</w:t>
      </w:r>
      <w:r>
        <w:rPr>
          <w:rFonts w:hint="eastAsia" w:ascii="宋体" w:hAnsi="宋体" w:eastAsia="宋体" w:cs="宋体"/>
          <w:sz w:val="24"/>
        </w:rPr>
        <w:t>个包，采购成都市龙泉驿区妇幼保健院2024年度医疗设备一批，具体内容如下：</w:t>
      </w:r>
      <w:bookmarkStart w:id="2" w:name="_GoBack"/>
      <w:bookmarkEnd w:id="2"/>
    </w:p>
    <w:tbl>
      <w:tblPr>
        <w:tblStyle w:val="18"/>
        <w:tblW w:w="9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792"/>
        <w:gridCol w:w="2105"/>
        <w:gridCol w:w="775"/>
        <w:gridCol w:w="775"/>
        <w:gridCol w:w="1975"/>
        <w:gridCol w:w="2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1042" w:type="dxa"/>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包号</w:t>
            </w:r>
          </w:p>
        </w:tc>
        <w:tc>
          <w:tcPr>
            <w:tcW w:w="792" w:type="dxa"/>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序号</w:t>
            </w:r>
          </w:p>
        </w:tc>
        <w:tc>
          <w:tcPr>
            <w:tcW w:w="2105" w:type="dxa"/>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标的名称</w:t>
            </w:r>
          </w:p>
        </w:tc>
        <w:tc>
          <w:tcPr>
            <w:tcW w:w="775" w:type="dxa"/>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数量</w:t>
            </w:r>
          </w:p>
        </w:tc>
        <w:tc>
          <w:tcPr>
            <w:tcW w:w="775" w:type="dxa"/>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单位</w:t>
            </w:r>
          </w:p>
        </w:tc>
        <w:tc>
          <w:tcPr>
            <w:tcW w:w="1975" w:type="dxa"/>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最高单价限价（元）</w:t>
            </w:r>
          </w:p>
        </w:tc>
        <w:tc>
          <w:tcPr>
            <w:tcW w:w="2046" w:type="dxa"/>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最高总价限价（元）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 w:type="dxa"/>
            <w:vMerge w:val="restart"/>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01</w:t>
            </w: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微波治疗仪</w:t>
            </w:r>
          </w:p>
        </w:tc>
        <w:tc>
          <w:tcPr>
            <w:tcW w:w="775" w:type="dxa"/>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333333"/>
                <w:kern w:val="0"/>
                <w:sz w:val="24"/>
                <w:szCs w:val="24"/>
                <w:lang w:bidi="ar"/>
              </w:rPr>
              <w:t>2</w:t>
            </w:r>
          </w:p>
        </w:tc>
        <w:tc>
          <w:tcPr>
            <w:tcW w:w="775" w:type="dxa"/>
            <w:vAlign w:val="center"/>
          </w:tcPr>
          <w:p>
            <w:pPr>
              <w:widowControl/>
              <w:spacing w:line="500" w:lineRule="exact"/>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1975" w:type="dxa"/>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333333"/>
                <w:kern w:val="0"/>
                <w:sz w:val="24"/>
                <w:szCs w:val="24"/>
                <w:lang w:bidi="ar"/>
              </w:rPr>
              <w:t>20000.00</w:t>
            </w:r>
          </w:p>
        </w:tc>
        <w:tc>
          <w:tcPr>
            <w:tcW w:w="2046" w:type="dxa"/>
            <w:vMerge w:val="restart"/>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53200.00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 w:type="dxa"/>
            <w:vMerge w:val="continue"/>
            <w:vAlign w:val="center"/>
          </w:tcPr>
          <w:p>
            <w:pPr>
              <w:pStyle w:val="4"/>
              <w:spacing w:line="500" w:lineRule="exact"/>
              <w:ind w:firstLine="0" w:firstLineChars="0"/>
              <w:jc w:val="center"/>
              <w:rPr>
                <w:rFonts w:ascii="宋体" w:hAnsi="宋体" w:eastAsia="宋体" w:cs="宋体"/>
                <w:sz w:val="24"/>
                <w:szCs w:val="24"/>
              </w:rPr>
            </w:pP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低频脉冲治疗仪</w:t>
            </w:r>
          </w:p>
        </w:tc>
        <w:tc>
          <w:tcPr>
            <w:tcW w:w="775" w:type="dxa"/>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w:t>
            </w:r>
          </w:p>
        </w:tc>
        <w:tc>
          <w:tcPr>
            <w:tcW w:w="775" w:type="dxa"/>
            <w:vAlign w:val="center"/>
          </w:tcPr>
          <w:p>
            <w:pPr>
              <w:widowControl/>
              <w:spacing w:line="500" w:lineRule="exact"/>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1975" w:type="dxa"/>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10000.00</w:t>
            </w:r>
          </w:p>
        </w:tc>
        <w:tc>
          <w:tcPr>
            <w:tcW w:w="2046" w:type="dxa"/>
            <w:vMerge w:val="continue"/>
            <w:vAlign w:val="center"/>
          </w:tcPr>
          <w:p>
            <w:pPr>
              <w:widowControl/>
              <w:jc w:val="center"/>
              <w:textAlignment w:val="center"/>
              <w:rPr>
                <w:rFonts w:ascii="宋体" w:hAnsi="宋体" w:eastAsia="宋体" w:cs="宋体"/>
                <w:color w:val="333333"/>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042" w:type="dxa"/>
            <w:vMerge w:val="continue"/>
            <w:vAlign w:val="center"/>
          </w:tcPr>
          <w:p>
            <w:pPr>
              <w:pStyle w:val="4"/>
              <w:spacing w:line="500" w:lineRule="exact"/>
              <w:ind w:firstLine="0" w:firstLineChars="0"/>
              <w:jc w:val="center"/>
              <w:rPr>
                <w:rFonts w:ascii="宋体" w:hAnsi="宋体" w:eastAsia="宋体" w:cs="宋体"/>
                <w:sz w:val="24"/>
                <w:szCs w:val="24"/>
              </w:rPr>
            </w:pP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电子针疗仪</w:t>
            </w:r>
          </w:p>
        </w:tc>
        <w:tc>
          <w:tcPr>
            <w:tcW w:w="775" w:type="dxa"/>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4</w:t>
            </w:r>
          </w:p>
        </w:tc>
        <w:tc>
          <w:tcPr>
            <w:tcW w:w="775" w:type="dxa"/>
            <w:vAlign w:val="center"/>
          </w:tcPr>
          <w:p>
            <w:pPr>
              <w:widowControl/>
              <w:spacing w:line="500" w:lineRule="exact"/>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1975" w:type="dxa"/>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800.00</w:t>
            </w:r>
          </w:p>
        </w:tc>
        <w:tc>
          <w:tcPr>
            <w:tcW w:w="2046" w:type="dxa"/>
            <w:vMerge w:val="continue"/>
            <w:vAlign w:val="center"/>
          </w:tcPr>
          <w:p>
            <w:pPr>
              <w:widowControl/>
              <w:jc w:val="center"/>
              <w:textAlignment w:val="center"/>
              <w:rPr>
                <w:rFonts w:ascii="宋体" w:hAnsi="宋体" w:eastAsia="宋体" w:cs="宋体"/>
                <w:color w:val="333333"/>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 w:type="dxa"/>
            <w:vMerge w:val="restart"/>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02</w:t>
            </w: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振动排痰仪</w:t>
            </w:r>
          </w:p>
        </w:tc>
        <w:tc>
          <w:tcPr>
            <w:tcW w:w="775" w:type="dxa"/>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w:t>
            </w:r>
          </w:p>
        </w:tc>
        <w:tc>
          <w:tcPr>
            <w:tcW w:w="775" w:type="dxa"/>
            <w:vAlign w:val="center"/>
          </w:tcPr>
          <w:p>
            <w:pPr>
              <w:widowControl/>
              <w:spacing w:line="500" w:lineRule="exact"/>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1975" w:type="dxa"/>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20000.00</w:t>
            </w:r>
          </w:p>
        </w:tc>
        <w:tc>
          <w:tcPr>
            <w:tcW w:w="2046" w:type="dxa"/>
            <w:vMerge w:val="restart"/>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53200.00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 w:type="dxa"/>
            <w:vMerge w:val="continue"/>
            <w:vAlign w:val="center"/>
          </w:tcPr>
          <w:p>
            <w:pPr>
              <w:pStyle w:val="4"/>
              <w:spacing w:line="500" w:lineRule="exact"/>
              <w:ind w:firstLine="0" w:firstLineChars="0"/>
              <w:rPr>
                <w:szCs w:val="21"/>
              </w:rPr>
            </w:pP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活检枪</w:t>
            </w:r>
          </w:p>
        </w:tc>
        <w:tc>
          <w:tcPr>
            <w:tcW w:w="775" w:type="dxa"/>
            <w:vAlign w:val="center"/>
          </w:tcPr>
          <w:p>
            <w:pPr>
              <w:widowControl/>
              <w:jc w:val="center"/>
              <w:textAlignment w:val="center"/>
              <w:rPr>
                <w:szCs w:val="21"/>
              </w:rPr>
            </w:pPr>
            <w:r>
              <w:rPr>
                <w:rFonts w:hint="eastAsia" w:ascii="宋体" w:hAnsi="宋体" w:eastAsia="宋体" w:cs="宋体"/>
                <w:color w:val="333333"/>
                <w:kern w:val="0"/>
                <w:szCs w:val="21"/>
                <w:lang w:bidi="ar"/>
              </w:rPr>
              <w:t>1</w:t>
            </w:r>
          </w:p>
        </w:tc>
        <w:tc>
          <w:tcPr>
            <w:tcW w:w="775" w:type="dxa"/>
            <w:vAlign w:val="center"/>
          </w:tcPr>
          <w:p>
            <w:pPr>
              <w:widowControl/>
              <w:spacing w:line="500" w:lineRule="exact"/>
              <w:ind w:firstLine="210" w:firstLineChars="100"/>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台</w:t>
            </w:r>
          </w:p>
        </w:tc>
        <w:tc>
          <w:tcPr>
            <w:tcW w:w="1975" w:type="dxa"/>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20000.00</w:t>
            </w:r>
          </w:p>
        </w:tc>
        <w:tc>
          <w:tcPr>
            <w:tcW w:w="2046" w:type="dxa"/>
            <w:vMerge w:val="continue"/>
            <w:vAlign w:val="center"/>
          </w:tcPr>
          <w:p>
            <w:pPr>
              <w:widowControl/>
              <w:jc w:val="center"/>
              <w:textAlignment w:val="center"/>
              <w:rPr>
                <w:rFonts w:ascii="Helvetica" w:hAnsi="Helvetica" w:eastAsia="Helvetica" w:cs="Helvetica"/>
                <w:color w:val="333333"/>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 w:type="dxa"/>
            <w:vMerge w:val="continue"/>
            <w:vAlign w:val="center"/>
          </w:tcPr>
          <w:p>
            <w:pPr>
              <w:pStyle w:val="4"/>
              <w:spacing w:line="500" w:lineRule="exact"/>
              <w:ind w:firstLine="0" w:firstLineChars="0"/>
              <w:rPr>
                <w:szCs w:val="21"/>
              </w:rPr>
            </w:pP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弱视综合治疗仪</w:t>
            </w:r>
          </w:p>
        </w:tc>
        <w:tc>
          <w:tcPr>
            <w:tcW w:w="775" w:type="dxa"/>
            <w:vAlign w:val="center"/>
          </w:tcPr>
          <w:p>
            <w:pPr>
              <w:widowControl/>
              <w:jc w:val="center"/>
              <w:textAlignment w:val="center"/>
              <w:rPr>
                <w:szCs w:val="21"/>
              </w:rPr>
            </w:pPr>
            <w:r>
              <w:rPr>
                <w:rFonts w:hint="eastAsia" w:ascii="宋体" w:hAnsi="宋体" w:eastAsia="宋体" w:cs="宋体"/>
                <w:color w:val="000000"/>
                <w:kern w:val="0"/>
                <w:szCs w:val="21"/>
                <w:lang w:bidi="ar"/>
              </w:rPr>
              <w:t>2</w:t>
            </w:r>
          </w:p>
        </w:tc>
        <w:tc>
          <w:tcPr>
            <w:tcW w:w="775" w:type="dxa"/>
            <w:vAlign w:val="center"/>
          </w:tcPr>
          <w:p>
            <w:pPr>
              <w:widowControl/>
              <w:spacing w:line="500" w:lineRule="exact"/>
              <w:ind w:firstLine="210" w:firstLineChars="100"/>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台</w:t>
            </w:r>
          </w:p>
        </w:tc>
        <w:tc>
          <w:tcPr>
            <w:tcW w:w="1975" w:type="dxa"/>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6600.00</w:t>
            </w:r>
          </w:p>
        </w:tc>
        <w:tc>
          <w:tcPr>
            <w:tcW w:w="2046" w:type="dxa"/>
            <w:vMerge w:val="continue"/>
            <w:vAlign w:val="center"/>
          </w:tcPr>
          <w:p>
            <w:pPr>
              <w:widowControl/>
              <w:jc w:val="center"/>
              <w:textAlignment w:val="center"/>
              <w:rPr>
                <w:rFonts w:ascii="Helvetica" w:hAnsi="Helvetica" w:eastAsia="Helvetica" w:cs="Helvetica"/>
                <w:color w:val="333333"/>
                <w:kern w:val="0"/>
                <w:szCs w:val="21"/>
                <w:lang w:bidi="ar"/>
              </w:rPr>
            </w:pPr>
          </w:p>
        </w:tc>
      </w:tr>
    </w:tbl>
    <w:p>
      <w:pPr>
        <w:widowControl/>
        <w:numPr>
          <w:ilvl w:val="255"/>
          <w:numId w:val="0"/>
        </w:numPr>
        <w:spacing w:line="500" w:lineRule="exact"/>
        <w:ind w:firstLine="42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二、</w:t>
      </w:r>
      <w:r>
        <w:rPr>
          <w:rFonts w:ascii="宋体" w:hAnsi="宋体" w:eastAsia="宋体" w:cs="宋体"/>
          <w:color w:val="000000" w:themeColor="text1"/>
          <w:sz w:val="24"/>
          <w:szCs w:val="24"/>
          <w14:textFill>
            <w14:solidFill>
              <w14:schemeClr w14:val="tx1"/>
            </w14:solidFill>
          </w14:textFill>
        </w:rPr>
        <w:t>商务要求：</w:t>
      </w:r>
    </w:p>
    <w:p>
      <w:pPr>
        <w:spacing w:line="500" w:lineRule="exact"/>
        <w:rPr>
          <w:rFonts w:ascii="宋体" w:hAnsi="宋体" w:eastAsia="宋体" w:cs="宋体"/>
          <w:bCs/>
          <w:sz w:val="24"/>
        </w:rPr>
      </w:pPr>
      <w:r>
        <w:rPr>
          <w:rFonts w:hint="eastAsia" w:ascii="宋体" w:hAnsi="宋体" w:eastAsia="宋体" w:cs="宋体"/>
          <w:bCs/>
          <w:sz w:val="24"/>
        </w:rPr>
        <w:t>1．交货期及地点</w:t>
      </w:r>
    </w:p>
    <w:p>
      <w:pPr>
        <w:spacing w:line="500" w:lineRule="exact"/>
        <w:rPr>
          <w:rFonts w:ascii="宋体" w:hAnsi="宋体" w:eastAsia="宋体" w:cs="宋体"/>
          <w:sz w:val="24"/>
        </w:rPr>
      </w:pPr>
      <w:r>
        <w:rPr>
          <w:rFonts w:hint="eastAsia" w:ascii="宋体" w:hAnsi="宋体" w:eastAsia="宋体" w:cs="宋体"/>
          <w:sz w:val="24"/>
        </w:rPr>
        <w:t xml:space="preserve">1.1 交货期：合同签订生效后15日内。 </w:t>
      </w:r>
    </w:p>
    <w:p>
      <w:pPr>
        <w:spacing w:line="500" w:lineRule="exact"/>
        <w:rPr>
          <w:rFonts w:ascii="宋体" w:hAnsi="宋体" w:eastAsia="宋体" w:cs="宋体"/>
          <w:sz w:val="24"/>
        </w:rPr>
      </w:pPr>
      <w:r>
        <w:rPr>
          <w:rFonts w:hint="eastAsia" w:ascii="宋体" w:hAnsi="宋体" w:eastAsia="宋体" w:cs="宋体"/>
          <w:sz w:val="24"/>
        </w:rPr>
        <w:t>1.2 交货地点: 成都市龙泉驿区妇幼保健院</w:t>
      </w:r>
    </w:p>
    <w:p>
      <w:pPr>
        <w:spacing w:line="500" w:lineRule="exact"/>
        <w:rPr>
          <w:rFonts w:ascii="宋体" w:hAnsi="宋体" w:eastAsia="宋体" w:cs="宋体"/>
          <w:bCs/>
          <w:sz w:val="24"/>
        </w:rPr>
      </w:pPr>
      <w:r>
        <w:rPr>
          <w:rFonts w:hint="eastAsia" w:ascii="宋体" w:hAnsi="宋体" w:eastAsia="宋体" w:cs="宋体"/>
          <w:bCs/>
          <w:sz w:val="24"/>
        </w:rPr>
        <w:t>2．付款方法和条件：</w:t>
      </w:r>
    </w:p>
    <w:p>
      <w:pPr>
        <w:pStyle w:val="36"/>
        <w:snapToGrid w:val="0"/>
        <w:ind w:firstLine="240" w:firstLineChars="100"/>
        <w:textAlignment w:val="baseline"/>
        <w:rPr>
          <w:rFonts w:hAnsi="宋体"/>
          <w:color w:val="000000" w:themeColor="text1"/>
          <w14:textFill>
            <w14:solidFill>
              <w14:schemeClr w14:val="tx1"/>
            </w14:solidFill>
          </w14:textFill>
        </w:rPr>
      </w:pPr>
      <w:r>
        <w:rPr>
          <w:rFonts w:hint="eastAsia" w:ascii="宋体" w:hAnsi="宋体" w:eastAsia="宋体"/>
          <w:bCs/>
        </w:rPr>
        <w:t xml:space="preserve">2.1 </w:t>
      </w:r>
      <w:r>
        <w:rPr>
          <w:rFonts w:hint="eastAsia" w:hAnsi="宋体"/>
          <w:color w:val="000000" w:themeColor="text1"/>
          <w14:textFill>
            <w14:solidFill>
              <w14:schemeClr w14:val="tx1"/>
            </w14:solidFill>
          </w14:textFill>
        </w:rPr>
        <w:t>合同签订后，货物到指定地点，甲方接到乙方通知与票据凭证资料以后的15日内，按照财政性资金支付有关规定，向乙方核拨预付款，合同总金额的50%款项；</w:t>
      </w:r>
    </w:p>
    <w:p>
      <w:pPr>
        <w:pStyle w:val="36"/>
        <w:snapToGrid w:val="0"/>
        <w:ind w:firstLine="240" w:firstLineChars="100"/>
        <w:textAlignment w:val="baseline"/>
        <w:rPr>
          <w:rFonts w:hAnsi="宋体"/>
          <w:color w:val="000000" w:themeColor="text1"/>
          <w14:textFill>
            <w14:solidFill>
              <w14:schemeClr w14:val="tx1"/>
            </w14:solidFill>
          </w14:textFill>
        </w:rPr>
      </w:pPr>
      <w:r>
        <w:rPr>
          <w:rFonts w:ascii="宋体" w:hAnsi="宋体" w:eastAsia="宋体"/>
          <w:bCs/>
        </w:rPr>
        <w:t>2.2</w:t>
      </w:r>
      <w:r>
        <w:rPr>
          <w:rFonts w:hint="eastAsia" w:hAnsi="宋体"/>
          <w:color w:val="000000" w:themeColor="text1"/>
          <w14:textFill>
            <w14:solidFill>
              <w14:schemeClr w14:val="tx1"/>
            </w14:solidFill>
          </w14:textFill>
        </w:rPr>
        <w:t>货物安装调试完毕并经科室确认后，甲方接到乙方通知与票据凭证资料以后的15日内，向乙方核拨合同总金额的40%款项；</w:t>
      </w:r>
    </w:p>
    <w:p>
      <w:pPr>
        <w:pStyle w:val="36"/>
        <w:snapToGrid w:val="0"/>
        <w:ind w:firstLine="240" w:firstLineChars="100"/>
        <w:textAlignment w:val="baseline"/>
        <w:rPr>
          <w:rFonts w:hAnsi="宋体"/>
          <w:color w:val="000000" w:themeColor="text1"/>
          <w14:textFill>
            <w14:solidFill>
              <w14:schemeClr w14:val="tx1"/>
            </w14:solidFill>
          </w14:textFill>
        </w:rPr>
      </w:pPr>
      <w:r>
        <w:rPr>
          <w:rFonts w:ascii="宋体" w:hAnsi="宋体" w:eastAsia="宋体"/>
          <w:bCs/>
        </w:rPr>
        <w:t>2.3</w:t>
      </w:r>
      <w:r>
        <w:rPr>
          <w:rFonts w:hint="eastAsia" w:hAnsi="宋体"/>
          <w:color w:val="000000" w:themeColor="text1"/>
          <w14:textFill>
            <w14:solidFill>
              <w14:schemeClr w14:val="tx1"/>
            </w14:solidFill>
          </w14:textFill>
        </w:rPr>
        <w:t>货物正常使用六个月后，乙方提交验收报告，经科室确认后，甲方接到乙方通知与票据凭证资料以后的15日内，向乙方核拨合同总金额的10%款项；</w:t>
      </w:r>
    </w:p>
    <w:p>
      <w:pPr>
        <w:spacing w:line="500" w:lineRule="exact"/>
        <w:ind w:firstLine="240" w:firstLineChars="100"/>
        <w:rPr>
          <w:rFonts w:ascii="宋体" w:hAnsi="宋体" w:eastAsia="宋体" w:cs="宋体"/>
          <w:bCs/>
          <w:sz w:val="24"/>
        </w:rPr>
      </w:pPr>
      <w:r>
        <w:rPr>
          <w:rFonts w:ascii="宋体" w:hAnsi="宋体" w:eastAsia="宋体" w:cs="宋体"/>
          <w:bCs/>
          <w:sz w:val="24"/>
        </w:rPr>
        <w:t>2.</w:t>
      </w:r>
      <w:r>
        <w:rPr>
          <w:rFonts w:hint="eastAsia" w:ascii="宋体" w:hAnsi="宋体" w:eastAsia="宋体" w:cs="宋体"/>
          <w:bCs/>
          <w:sz w:val="24"/>
        </w:rPr>
        <w:t>4 付款条件：每次款项的支付前提均为采购人在收到中标人出具的正规发票30日内予以办理款项的支付。</w:t>
      </w:r>
    </w:p>
    <w:p>
      <w:pPr>
        <w:spacing w:line="500" w:lineRule="exact"/>
        <w:rPr>
          <w:rFonts w:ascii="宋体" w:hAnsi="宋体" w:eastAsia="宋体" w:cs="宋体"/>
          <w:bCs/>
          <w:sz w:val="24"/>
        </w:rPr>
      </w:pPr>
      <w:r>
        <w:rPr>
          <w:rFonts w:hint="eastAsia" w:ascii="宋体" w:hAnsi="宋体" w:eastAsia="宋体" w:cs="宋体"/>
          <w:bCs/>
          <w:sz w:val="24"/>
        </w:rPr>
        <w:t>3.质保期：不低于贰年，质保期从验收合格之日起计算。</w:t>
      </w:r>
    </w:p>
    <w:p>
      <w:pPr>
        <w:spacing w:line="500" w:lineRule="exact"/>
        <w:rPr>
          <w:rFonts w:ascii="宋体" w:hAnsi="宋体" w:eastAsia="宋体" w:cs="宋体"/>
          <w:bCs/>
          <w:sz w:val="24"/>
        </w:rPr>
      </w:pPr>
      <w:r>
        <w:rPr>
          <w:rFonts w:hint="eastAsia" w:ascii="宋体" w:hAnsi="宋体" w:eastAsia="宋体" w:cs="宋体"/>
          <w:bCs/>
          <w:sz w:val="24"/>
        </w:rPr>
        <w:t>4.安装调试及验收：</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4.1 供应商负责设备安装、调试。</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4.2 货物到达采购人现场后，供应商接到采购人通知后7日内到达现场组织安装、调试，达到正常运行要求，保证采购人正常使用。所需的费用包括在投标总价格中。</w:t>
      </w:r>
    </w:p>
    <w:p>
      <w:pPr>
        <w:spacing w:line="500" w:lineRule="exact"/>
        <w:ind w:firstLine="240" w:firstLineChars="100"/>
        <w:jc w:val="left"/>
        <w:rPr>
          <w:rFonts w:ascii="宋体" w:hAnsi="宋体" w:eastAsia="宋体" w:cs="宋体"/>
          <w:bCs/>
          <w:sz w:val="24"/>
        </w:rPr>
      </w:pPr>
      <w:r>
        <w:rPr>
          <w:rFonts w:hint="eastAsia" w:ascii="宋体" w:hAnsi="宋体" w:eastAsia="宋体" w:cs="宋体"/>
          <w:bCs/>
          <w:sz w:val="24"/>
        </w:rPr>
        <w:t>4.3 供应商应就设备的安装、调试、操作、维修、保养等对采购人维修技术人员进行培训。设备安装调试完毕后，供应商应对采购人操作人员进行现场培训，直至采购人的技术人员能独立操作，同时能完成一般常见故障的维修工作。</w:t>
      </w:r>
    </w:p>
    <w:p>
      <w:pPr>
        <w:spacing w:line="500" w:lineRule="exact"/>
        <w:rPr>
          <w:rFonts w:ascii="宋体" w:hAnsi="宋体" w:eastAsia="宋体" w:cs="宋体"/>
          <w:bCs/>
          <w:sz w:val="24"/>
        </w:rPr>
      </w:pPr>
      <w:r>
        <w:rPr>
          <w:rFonts w:hint="eastAsia" w:ascii="宋体" w:hAnsi="宋体" w:eastAsia="宋体" w:cs="宋体"/>
          <w:bCs/>
          <w:sz w:val="24"/>
        </w:rPr>
        <w:t>5.履约验收要求</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5.1 验收方法：验收时双方皆应派员参加，验收合格并安装完毕后需双方签署验收单；</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5.2 验收标准：符合国家相关规定的合格产品；保证所供的货物皆为原厂原装、全新、未使用过，并按照相关技术要求进行安装、调试，并完全满足采购人采购提出的工作需要。</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5.3 验收时须提供的产品资料：（1）合同复印件1份；（2）中标人资质、产品制造厂家资质及产品资质、投标产品制造厂家的授权文件纸质电子版各1套；（3）合格证、保修卡、使用手册等。</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5.4 验收时间要求：中标人按照合同要求完成全部货物运输、安装、调试等全部工作后，采购人在收到书面的验收申请材料后30日内组织履约验收工作。</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5.5 其他要求：验收不合格时，采购人和中标人应协商一致，中标人应根据相关验收证明材料及时补足或更换设备，费用由中标人自行承担。</w:t>
      </w:r>
    </w:p>
    <w:p>
      <w:pPr>
        <w:numPr>
          <w:ilvl w:val="255"/>
          <w:numId w:val="0"/>
        </w:numPr>
        <w:spacing w:line="500" w:lineRule="exact"/>
        <w:rPr>
          <w:rFonts w:ascii="宋体" w:hAnsi="宋体" w:eastAsia="宋体" w:cs="宋体"/>
          <w:bCs/>
          <w:sz w:val="24"/>
        </w:rPr>
      </w:pPr>
      <w:r>
        <w:rPr>
          <w:rFonts w:hint="eastAsia" w:ascii="宋体" w:hAnsi="宋体" w:eastAsia="宋体" w:cs="宋体"/>
          <w:bCs/>
          <w:sz w:val="24"/>
        </w:rPr>
        <w:t>6.售后服务及培训要求</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6.1 设备发生故障时，中标人接到通知后30分钟内提供电话等服务响应，48小时内到达现场维修。</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6.2 设备保修期内开机率不低于95%。</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6.3 零配件供应：中标人应保证设备安装验收后备件供应不少于6年，备有所有必需的备件，保证需要时48小时内将配件送达采购人。</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6.4 投标产品制造厂家在国内应有24小时电话维修系统，在供货时须提供工程师名单、联系电话、通讯地址及备件的目录，保证8小时响应采购人的服务要求。</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6.5 中标人或投标产品生产厂家的售后服务机构在对设备进行保养、维修后须向采购人管理科室提供经使用人员确认的纸质报告；中标人或投标产品生产厂家需提供每年不少于2次的日常巡查巡检设备，并提供纸质报告。</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6.6 中标人应就设备的安装、调试、操作、维修、保养等对采购人技术人员进行培训，培训人员须为设备制造厂家的专业售后人员.</w:t>
      </w:r>
    </w:p>
    <w:p>
      <w:pPr>
        <w:numPr>
          <w:ilvl w:val="255"/>
          <w:numId w:val="0"/>
        </w:numPr>
        <w:adjustRightInd w:val="0"/>
        <w:snapToGrid w:val="0"/>
        <w:spacing w:line="500" w:lineRule="exact"/>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三、项目服务内容及要求：</w:t>
      </w:r>
    </w:p>
    <w:p>
      <w:pPr>
        <w:numPr>
          <w:ilvl w:val="255"/>
          <w:numId w:val="0"/>
        </w:numPr>
        <w:adjustRightInd w:val="0"/>
        <w:snapToGrid w:val="0"/>
        <w:spacing w:line="440" w:lineRule="exact"/>
        <w:jc w:val="left"/>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（一）采购包01：</w:t>
      </w:r>
    </w:p>
    <w:p>
      <w:pPr>
        <w:spacing w:line="440" w:lineRule="exact"/>
        <w:jc w:val="left"/>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1.微波治疗仪：</w:t>
      </w:r>
    </w:p>
    <w:p>
      <w:pPr>
        <w:spacing w:line="440" w:lineRule="exact"/>
        <w:jc w:val="left"/>
        <w:rPr>
          <w:rFonts w:ascii="宋体" w:hAnsi="宋体" w:eastAsia="宋体"/>
          <w:sz w:val="24"/>
        </w:rPr>
      </w:pPr>
      <w:r>
        <w:rPr>
          <w:rFonts w:hint="eastAsia" w:ascii="宋体" w:hAnsi="宋体"/>
          <w:sz w:val="24"/>
        </w:rPr>
        <w:t>1.1 微波频率：2450MHz；</w:t>
      </w:r>
    </w:p>
    <w:p>
      <w:pPr>
        <w:spacing w:line="440" w:lineRule="exact"/>
        <w:jc w:val="left"/>
        <w:rPr>
          <w:rFonts w:ascii="宋体" w:hAnsi="宋体"/>
          <w:sz w:val="24"/>
        </w:rPr>
      </w:pPr>
      <w:r>
        <w:rPr>
          <w:rFonts w:hint="eastAsia" w:ascii="宋体" w:hAnsi="宋体"/>
          <w:sz w:val="24"/>
        </w:rPr>
        <w:t>1.2 微波功率：</w:t>
      </w:r>
      <w:r>
        <w:rPr>
          <w:rFonts w:hint="eastAsia" w:ascii="宋体" w:hAnsi="宋体"/>
          <w:spacing w:val="-14"/>
          <w:sz w:val="24"/>
        </w:rPr>
        <w:t>治疗：</w:t>
      </w:r>
      <w:r>
        <w:rPr>
          <w:rFonts w:hint="eastAsia" w:ascii="宋体" w:hAnsi="宋体"/>
          <w:sz w:val="24"/>
        </w:rPr>
        <w:t>0～99W</w:t>
      </w:r>
      <w:r>
        <w:rPr>
          <w:rFonts w:hint="eastAsia" w:ascii="宋体" w:hAnsi="宋体"/>
          <w:spacing w:val="-14"/>
          <w:sz w:val="24"/>
        </w:rPr>
        <w:t>，理疗：</w:t>
      </w:r>
      <w:r>
        <w:rPr>
          <w:rFonts w:hint="eastAsia" w:ascii="宋体" w:hAnsi="宋体"/>
          <w:sz w:val="24"/>
        </w:rPr>
        <w:t>0～99W</w:t>
      </w:r>
      <w:r>
        <w:rPr>
          <w:rFonts w:hint="eastAsia" w:ascii="宋体" w:hAnsi="宋体"/>
          <w:spacing w:val="-14"/>
          <w:sz w:val="24"/>
        </w:rPr>
        <w:t>；</w:t>
      </w:r>
    </w:p>
    <w:p>
      <w:pPr>
        <w:spacing w:line="440" w:lineRule="exact"/>
        <w:jc w:val="left"/>
        <w:rPr>
          <w:rFonts w:ascii="宋体" w:hAnsi="宋体"/>
          <w:sz w:val="24"/>
        </w:rPr>
      </w:pPr>
      <w:r>
        <w:rPr>
          <w:rFonts w:hint="eastAsia" w:ascii="宋体" w:hAnsi="宋体"/>
          <w:sz w:val="24"/>
        </w:rPr>
        <w:t>1.3 治疗时间：</w:t>
      </w:r>
      <w:r>
        <w:rPr>
          <w:rFonts w:hint="eastAsia" w:ascii="宋体" w:hAnsi="宋体"/>
          <w:spacing w:val="-14"/>
          <w:sz w:val="24"/>
        </w:rPr>
        <w:t>治疗：0</w:t>
      </w:r>
      <w:r>
        <w:rPr>
          <w:rFonts w:hint="eastAsia" w:ascii="宋体" w:hAnsi="宋体"/>
          <w:sz w:val="24"/>
        </w:rPr>
        <w:t>～</w:t>
      </w:r>
      <w:r>
        <w:rPr>
          <w:rFonts w:hint="eastAsia" w:ascii="宋体" w:hAnsi="宋体"/>
          <w:spacing w:val="-14"/>
          <w:sz w:val="24"/>
        </w:rPr>
        <w:t>99秒，理疗：0</w:t>
      </w:r>
      <w:r>
        <w:rPr>
          <w:rFonts w:hint="eastAsia" w:ascii="宋体" w:hAnsi="宋体"/>
          <w:sz w:val="24"/>
        </w:rPr>
        <w:t>～</w:t>
      </w:r>
      <w:r>
        <w:rPr>
          <w:rFonts w:hint="eastAsia" w:ascii="宋体" w:hAnsi="宋体"/>
          <w:spacing w:val="-14"/>
          <w:sz w:val="24"/>
        </w:rPr>
        <w:t>30分；</w:t>
      </w:r>
    </w:p>
    <w:p>
      <w:pPr>
        <w:spacing w:line="440" w:lineRule="exact"/>
        <w:jc w:val="left"/>
        <w:rPr>
          <w:rFonts w:ascii="宋体" w:hAnsi="宋体"/>
          <w:sz w:val="24"/>
        </w:rPr>
      </w:pPr>
      <w:r>
        <w:rPr>
          <w:rFonts w:hint="eastAsia" w:ascii="宋体" w:hAnsi="宋体"/>
          <w:sz w:val="24"/>
        </w:rPr>
        <w:t>1.4 控制方式：自控和脚踏控制两种控制方式，可手动或自动复位；</w:t>
      </w:r>
    </w:p>
    <w:p>
      <w:pPr>
        <w:spacing w:line="440" w:lineRule="exact"/>
        <w:jc w:val="left"/>
        <w:rPr>
          <w:rFonts w:ascii="宋体" w:hAnsi="宋体"/>
          <w:sz w:val="24"/>
        </w:rPr>
      </w:pPr>
      <w:r>
        <w:rPr>
          <w:rFonts w:hint="eastAsia" w:ascii="宋体" w:hAnsi="宋体"/>
          <w:sz w:val="24"/>
        </w:rPr>
        <w:t>1.5 显示方式：数码显示；</w:t>
      </w:r>
    </w:p>
    <w:p>
      <w:pPr>
        <w:spacing w:line="440" w:lineRule="exact"/>
        <w:jc w:val="left"/>
        <w:rPr>
          <w:rFonts w:ascii="宋体" w:hAnsi="宋体"/>
          <w:color w:val="000000"/>
          <w:sz w:val="24"/>
        </w:rPr>
      </w:pPr>
      <w:r>
        <w:rPr>
          <w:rFonts w:hint="eastAsia" w:ascii="宋体" w:hAnsi="宋体"/>
          <w:sz w:val="24"/>
        </w:rPr>
        <w:t>1.6 工作方式：</w:t>
      </w:r>
      <w:r>
        <w:rPr>
          <w:rFonts w:hint="eastAsia" w:ascii="宋体" w:hAnsi="宋体"/>
          <w:color w:val="000000"/>
          <w:sz w:val="24"/>
        </w:rPr>
        <w:t>连续波方式；</w:t>
      </w:r>
    </w:p>
    <w:p>
      <w:pPr>
        <w:spacing w:line="440" w:lineRule="exact"/>
        <w:jc w:val="left"/>
        <w:rPr>
          <w:rFonts w:ascii="宋体" w:hAnsi="宋体"/>
          <w:sz w:val="24"/>
        </w:rPr>
      </w:pPr>
      <w:r>
        <w:rPr>
          <w:rFonts w:hint="eastAsia" w:ascii="宋体" w:hAnsi="宋体"/>
          <w:sz w:val="24"/>
        </w:rPr>
        <w:t>1.7 配置2个腔内辐射器：用于耳鼻喉腔内治疗，辐射器驻波系数≤2；</w:t>
      </w:r>
    </w:p>
    <w:p>
      <w:pPr>
        <w:spacing w:line="440" w:lineRule="exact"/>
        <w:jc w:val="left"/>
        <w:rPr>
          <w:rFonts w:ascii="宋体" w:hAnsi="宋体"/>
          <w:sz w:val="24"/>
        </w:rPr>
      </w:pPr>
      <w:r>
        <w:rPr>
          <w:rFonts w:hint="eastAsia" w:ascii="宋体" w:hAnsi="宋体"/>
          <w:sz w:val="24"/>
        </w:rPr>
        <w:t>1.8 安全性：</w:t>
      </w:r>
      <w:r>
        <w:rPr>
          <w:rFonts w:hint="eastAsia" w:ascii="宋体" w:hAnsi="宋体" w:eastAsia="宋体" w:cs="Times New Roman"/>
          <w:sz w:val="24"/>
        </w:rPr>
        <w:t>无用辐射</w:t>
      </w:r>
      <w:r>
        <w:rPr>
          <w:rFonts w:hint="eastAsia" w:ascii="宋体" w:hAnsi="宋体"/>
          <w:sz w:val="24"/>
        </w:rPr>
        <w:t>＜</w:t>
      </w:r>
      <w:r>
        <w:rPr>
          <w:rFonts w:hint="eastAsia" w:ascii="宋体" w:hAnsi="宋体" w:eastAsia="宋体" w:cs="Times New Roman"/>
          <w:sz w:val="24"/>
        </w:rPr>
        <w:t>10mW/cm²</w:t>
      </w:r>
      <w:r>
        <w:rPr>
          <w:rFonts w:hint="eastAsia" w:ascii="宋体" w:hAnsi="宋体"/>
          <w:sz w:val="24"/>
        </w:rPr>
        <w:t>。外壳辐射＜1mW/cm²。自动保护装置：具有过载、过热、闭锁、误操作保护功能；</w:t>
      </w:r>
    </w:p>
    <w:p>
      <w:pPr>
        <w:spacing w:line="440" w:lineRule="exact"/>
        <w:jc w:val="left"/>
        <w:rPr>
          <w:rFonts w:ascii="宋体" w:hAnsi="宋体"/>
          <w:bCs/>
          <w:sz w:val="24"/>
        </w:rPr>
      </w:pPr>
      <w:r>
        <w:rPr>
          <w:rFonts w:hint="eastAsia" w:ascii="宋体" w:hAnsi="宋体"/>
          <w:bCs/>
          <w:sz w:val="24"/>
        </w:rPr>
        <w:t>1.9 ▲具有功率调整自适应功能，输出功率稳定；</w:t>
      </w:r>
    </w:p>
    <w:p>
      <w:pPr>
        <w:spacing w:line="440" w:lineRule="exact"/>
        <w:jc w:val="left"/>
        <w:rPr>
          <w:rFonts w:ascii="宋体" w:hAnsi="宋体"/>
          <w:sz w:val="24"/>
        </w:rPr>
      </w:pPr>
      <w:r>
        <w:rPr>
          <w:rFonts w:hint="eastAsia" w:ascii="宋体" w:hAnsi="宋体"/>
          <w:sz w:val="24"/>
        </w:rPr>
        <w:t xml:space="preserve">1.10 </w:t>
      </w:r>
      <w:r>
        <w:rPr>
          <w:rFonts w:hint="eastAsia" w:ascii="宋体" w:hAnsi="宋体"/>
          <w:bCs/>
          <w:sz w:val="24"/>
        </w:rPr>
        <w:t>▲</w:t>
      </w:r>
      <w:r>
        <w:rPr>
          <w:rFonts w:hint="eastAsia" w:ascii="宋体" w:hAnsi="宋体"/>
          <w:sz w:val="24"/>
        </w:rPr>
        <w:t>具有功率异常实时自检功能和故障代码显示；并采用加强保护，设备一旦出现异常，设备主机面板上可显示故障状态；（提供软件测试报告）</w:t>
      </w:r>
    </w:p>
    <w:p>
      <w:pPr>
        <w:spacing w:line="440" w:lineRule="exact"/>
        <w:jc w:val="left"/>
        <w:rPr>
          <w:rFonts w:ascii="宋体" w:hAnsi="宋体"/>
          <w:bCs/>
          <w:sz w:val="24"/>
        </w:rPr>
      </w:pPr>
      <w:r>
        <w:rPr>
          <w:rStyle w:val="20"/>
          <w:rFonts w:hint="eastAsia" w:ascii="宋体" w:hAnsi="宋体"/>
          <w:b w:val="0"/>
          <w:sz w:val="24"/>
        </w:rPr>
        <w:t xml:space="preserve">1.11 </w:t>
      </w:r>
      <w:r>
        <w:rPr>
          <w:rFonts w:hint="eastAsia" w:ascii="宋体" w:hAnsi="宋体"/>
          <w:bCs/>
          <w:sz w:val="24"/>
        </w:rPr>
        <w:t>主机采用一体化推车机柜；</w:t>
      </w:r>
    </w:p>
    <w:p>
      <w:pPr>
        <w:spacing w:line="440" w:lineRule="exact"/>
        <w:ind w:left="588" w:hanging="588" w:hangingChars="245"/>
        <w:jc w:val="left"/>
        <w:rPr>
          <w:rFonts w:ascii="宋体" w:hAnsi="宋体"/>
          <w:bCs/>
          <w:sz w:val="24"/>
        </w:rPr>
      </w:pPr>
      <w:r>
        <w:rPr>
          <w:rStyle w:val="20"/>
          <w:rFonts w:hint="eastAsia" w:ascii="宋体" w:hAnsi="宋体"/>
          <w:b w:val="0"/>
          <w:sz w:val="24"/>
        </w:rPr>
        <w:t xml:space="preserve">1.12 </w:t>
      </w:r>
      <w:r>
        <w:rPr>
          <w:rFonts w:hint="eastAsia" w:ascii="宋体" w:hAnsi="宋体"/>
          <w:bCs/>
          <w:sz w:val="24"/>
        </w:rPr>
        <w:t>▲</w:t>
      </w:r>
      <w:r>
        <w:rPr>
          <w:rStyle w:val="20"/>
          <w:rFonts w:hint="eastAsia" w:ascii="宋体" w:hAnsi="宋体"/>
          <w:b w:val="0"/>
          <w:sz w:val="24"/>
        </w:rPr>
        <w:t>适用范围：主要</w:t>
      </w:r>
      <w:r>
        <w:rPr>
          <w:rFonts w:hint="eastAsia" w:ascii="宋体" w:hAnsi="宋体"/>
          <w:bCs/>
          <w:sz w:val="24"/>
        </w:rPr>
        <w:t>适用于耳鼻咽喉部位炎症的治疗。</w:t>
      </w:r>
    </w:p>
    <w:p>
      <w:pPr>
        <w:spacing w:line="440" w:lineRule="exact"/>
        <w:jc w:val="left"/>
        <w:rPr>
          <w:rFonts w:ascii="宋体" w:hAnsi="宋体"/>
          <w:b/>
          <w:bCs w:val="0"/>
          <w:sz w:val="24"/>
          <w:lang w:bidi="ar"/>
        </w:rPr>
      </w:pPr>
      <w:r>
        <w:rPr>
          <w:rFonts w:hint="eastAsia" w:ascii="宋体" w:hAnsi="宋体"/>
          <w:b/>
          <w:bCs w:val="0"/>
          <w:sz w:val="24"/>
        </w:rPr>
        <w:t>2.</w:t>
      </w:r>
      <w:r>
        <w:rPr>
          <w:rFonts w:hint="eastAsia" w:ascii="宋体" w:hAnsi="宋体"/>
          <w:b/>
          <w:bCs w:val="0"/>
          <w:sz w:val="24"/>
          <w:lang w:bidi="ar"/>
        </w:rPr>
        <w:t>低频脉冲治疗仪：</w:t>
      </w:r>
    </w:p>
    <w:p>
      <w:pPr>
        <w:spacing w:line="440" w:lineRule="exact"/>
        <w:jc w:val="left"/>
        <w:rPr>
          <w:rFonts w:ascii="宋体" w:hAnsi="宋体"/>
          <w:sz w:val="24"/>
        </w:rPr>
      </w:pPr>
      <w:r>
        <w:rPr>
          <w:rFonts w:hint="eastAsia" w:ascii="宋体" w:hAnsi="宋体"/>
          <w:sz w:val="24"/>
          <w:lang w:bidi="ar"/>
        </w:rPr>
        <w:t xml:space="preserve">2.1 </w:t>
      </w:r>
      <w:r>
        <w:rPr>
          <w:rFonts w:hint="eastAsia" w:ascii="宋体" w:hAnsi="宋体"/>
          <w:sz w:val="24"/>
        </w:rPr>
        <w:t>主要功能：乳汁分泌少、乳腺管不通、乳腺小叶增生、术后镇痛；</w:t>
      </w:r>
    </w:p>
    <w:p>
      <w:pPr>
        <w:spacing w:line="440" w:lineRule="exact"/>
        <w:jc w:val="left"/>
        <w:rPr>
          <w:rFonts w:ascii="宋体" w:hAnsi="宋体"/>
          <w:sz w:val="24"/>
        </w:rPr>
      </w:pPr>
      <w:r>
        <w:rPr>
          <w:rFonts w:hint="eastAsia" w:ascii="宋体" w:hAnsi="宋体"/>
          <w:sz w:val="24"/>
        </w:rPr>
        <w:t>2.2 显示界面：≥8寸显示屏；</w:t>
      </w:r>
    </w:p>
    <w:p>
      <w:pPr>
        <w:spacing w:line="440" w:lineRule="exact"/>
        <w:jc w:val="left"/>
        <w:rPr>
          <w:rFonts w:ascii="宋体" w:hAnsi="宋体"/>
          <w:sz w:val="24"/>
        </w:rPr>
      </w:pPr>
      <w:r>
        <w:rPr>
          <w:rFonts w:hint="eastAsia" w:ascii="宋体" w:hAnsi="宋体"/>
          <w:sz w:val="24"/>
        </w:rPr>
        <w:t>2.3 操作方式：薄膜按键操作；</w:t>
      </w:r>
    </w:p>
    <w:p>
      <w:pPr>
        <w:spacing w:line="440" w:lineRule="exact"/>
        <w:jc w:val="left"/>
        <w:rPr>
          <w:rFonts w:ascii="宋体" w:hAnsi="宋体"/>
          <w:sz w:val="24"/>
        </w:rPr>
      </w:pPr>
      <w:r>
        <w:rPr>
          <w:rFonts w:hint="eastAsia" w:ascii="宋体" w:hAnsi="宋体"/>
          <w:sz w:val="24"/>
        </w:rPr>
        <w:t>2.4 外观要求：便携式；</w:t>
      </w:r>
    </w:p>
    <w:p>
      <w:pPr>
        <w:spacing w:line="440" w:lineRule="exact"/>
        <w:jc w:val="left"/>
        <w:rPr>
          <w:rFonts w:ascii="宋体" w:hAnsi="宋体"/>
          <w:sz w:val="24"/>
        </w:rPr>
      </w:pPr>
      <w:r>
        <w:rPr>
          <w:rFonts w:hint="eastAsia" w:ascii="宋体" w:hAnsi="宋体"/>
          <w:sz w:val="24"/>
        </w:rPr>
        <w:t>2.5 语音功能：使用过程中有相应语音操作提示，避免医护人员操作失误；</w:t>
      </w:r>
    </w:p>
    <w:p>
      <w:pPr>
        <w:spacing w:line="440" w:lineRule="exact"/>
        <w:jc w:val="left"/>
        <w:rPr>
          <w:rFonts w:ascii="宋体" w:hAnsi="宋体"/>
          <w:sz w:val="24"/>
        </w:rPr>
      </w:pPr>
      <w:r>
        <w:rPr>
          <w:rFonts w:hint="eastAsia" w:ascii="宋体" w:hAnsi="宋体"/>
          <w:sz w:val="24"/>
        </w:rPr>
        <w:t>2.6 输出通道：双通道或四通道独立输出，可以同时多人或单人多部位治疗；</w:t>
      </w:r>
    </w:p>
    <w:p>
      <w:pPr>
        <w:spacing w:line="440" w:lineRule="exact"/>
        <w:jc w:val="left"/>
        <w:rPr>
          <w:rFonts w:ascii="宋体" w:hAnsi="宋体"/>
          <w:sz w:val="24"/>
        </w:rPr>
      </w:pPr>
      <w:r>
        <w:rPr>
          <w:rFonts w:hint="eastAsia" w:ascii="宋体" w:hAnsi="宋体"/>
          <w:sz w:val="24"/>
        </w:rPr>
        <w:t>2.7 时间设置：0～99min 连续可调，步进时间为1 min，最大误差±1 min。屏幕显示面板倒计时显示治疗时间，治疗结束时，蜂鸣器报警，其结束治疗功能模块后无能量输出；</w:t>
      </w:r>
    </w:p>
    <w:p>
      <w:pPr>
        <w:spacing w:line="440" w:lineRule="exact"/>
        <w:jc w:val="left"/>
        <w:rPr>
          <w:rFonts w:ascii="宋体" w:hAnsi="宋体"/>
          <w:sz w:val="24"/>
        </w:rPr>
      </w:pPr>
      <w:r>
        <w:rPr>
          <w:rFonts w:hint="eastAsia" w:ascii="宋体" w:hAnsi="宋体"/>
          <w:sz w:val="24"/>
        </w:rPr>
        <w:t xml:space="preserve">2.8 </w:t>
      </w:r>
      <w:r>
        <w:rPr>
          <w:rFonts w:hint="eastAsia" w:ascii="宋体" w:hAnsi="宋体" w:cs="宋体"/>
          <w:color w:val="231916"/>
          <w:sz w:val="28"/>
          <w:szCs w:val="28"/>
        </w:rPr>
        <w:t>★</w:t>
      </w:r>
      <w:r>
        <w:rPr>
          <w:rFonts w:hint="eastAsia" w:ascii="宋体" w:hAnsi="宋体"/>
          <w:sz w:val="24"/>
        </w:rPr>
        <w:t>配置要求：配置台车1个、电极线、电极片（乳房用）。</w:t>
      </w:r>
    </w:p>
    <w:p>
      <w:pPr>
        <w:spacing w:line="440" w:lineRule="exact"/>
        <w:jc w:val="left"/>
        <w:rPr>
          <w:rFonts w:hint="eastAsia" w:ascii="宋体" w:hAnsi="宋体" w:eastAsiaTheme="minorEastAsia"/>
          <w:b/>
          <w:bCs/>
          <w:sz w:val="24"/>
          <w:lang w:eastAsia="zh-CN"/>
        </w:rPr>
      </w:pPr>
      <w:r>
        <w:rPr>
          <w:rFonts w:hint="eastAsia" w:ascii="宋体" w:hAnsi="宋体"/>
          <w:b/>
          <w:bCs/>
          <w:sz w:val="24"/>
        </w:rPr>
        <w:t>3.电子针疗仪</w:t>
      </w:r>
      <w:r>
        <w:rPr>
          <w:rFonts w:hint="eastAsia" w:ascii="宋体" w:hAnsi="宋体"/>
          <w:b/>
          <w:bCs/>
          <w:sz w:val="24"/>
          <w:lang w:eastAsia="zh-CN"/>
        </w:rPr>
        <w:t>：</w:t>
      </w:r>
    </w:p>
    <w:p>
      <w:pPr>
        <w:spacing w:line="440" w:lineRule="exact"/>
        <w:jc w:val="left"/>
        <w:rPr>
          <w:rFonts w:ascii="宋体" w:hAnsi="宋体"/>
          <w:sz w:val="24"/>
          <w:lang w:bidi="ar"/>
        </w:rPr>
      </w:pPr>
      <w:r>
        <w:rPr>
          <w:rFonts w:hint="eastAsia" w:ascii="宋体" w:hAnsi="宋体"/>
          <w:sz w:val="24"/>
          <w:lang w:bidi="ar"/>
        </w:rPr>
        <w:t>3.1 输出功率：10.0VA；</w:t>
      </w:r>
    </w:p>
    <w:p>
      <w:pPr>
        <w:spacing w:line="440" w:lineRule="exact"/>
        <w:jc w:val="left"/>
        <w:rPr>
          <w:rFonts w:ascii="宋体" w:hAnsi="宋体"/>
          <w:sz w:val="24"/>
          <w:lang w:bidi="ar"/>
        </w:rPr>
      </w:pPr>
      <w:r>
        <w:rPr>
          <w:rFonts w:hint="eastAsia" w:ascii="宋体" w:hAnsi="宋体"/>
          <w:sz w:val="24"/>
          <w:lang w:bidi="ar"/>
        </w:rPr>
        <w:t>3.2 输出电流限值：≤10mA；</w:t>
      </w:r>
    </w:p>
    <w:p>
      <w:pPr>
        <w:spacing w:line="440" w:lineRule="exact"/>
        <w:jc w:val="left"/>
        <w:rPr>
          <w:rFonts w:ascii="宋体" w:hAnsi="宋体"/>
          <w:sz w:val="24"/>
          <w:lang w:bidi="ar"/>
        </w:rPr>
      </w:pPr>
      <w:r>
        <w:rPr>
          <w:rFonts w:hint="eastAsia" w:ascii="宋体" w:hAnsi="宋体"/>
          <w:sz w:val="24"/>
          <w:lang w:bidi="ar"/>
        </w:rPr>
        <w:t>3.3 输出脉冲波形：非对称双向脉冲波；</w:t>
      </w:r>
    </w:p>
    <w:p>
      <w:pPr>
        <w:numPr>
          <w:ilvl w:val="255"/>
          <w:numId w:val="0"/>
        </w:numPr>
        <w:spacing w:line="440" w:lineRule="exact"/>
        <w:jc w:val="left"/>
        <w:rPr>
          <w:rFonts w:ascii="宋体" w:hAnsi="宋体"/>
          <w:sz w:val="24"/>
          <w:lang w:bidi="ar"/>
        </w:rPr>
      </w:pPr>
      <w:r>
        <w:rPr>
          <w:rFonts w:hint="eastAsia" w:ascii="宋体" w:hAnsi="宋体"/>
          <w:sz w:val="24"/>
          <w:lang w:bidi="ar"/>
        </w:rPr>
        <w:t>3.4 输出脉冲路数：六路输出；</w:t>
      </w:r>
    </w:p>
    <w:p>
      <w:pPr>
        <w:numPr>
          <w:ilvl w:val="255"/>
          <w:numId w:val="0"/>
        </w:numPr>
        <w:spacing w:line="440" w:lineRule="exact"/>
        <w:jc w:val="left"/>
        <w:rPr>
          <w:rFonts w:ascii="宋体" w:hAnsi="宋体"/>
          <w:sz w:val="24"/>
          <w:lang w:bidi="ar"/>
        </w:rPr>
      </w:pPr>
      <w:r>
        <w:rPr>
          <w:rFonts w:hint="eastAsia" w:ascii="宋体" w:hAnsi="宋体"/>
          <w:sz w:val="24"/>
          <w:lang w:bidi="ar"/>
        </w:rPr>
        <w:t>3.5 输出脉冲宽度：0.2ms±30％；</w:t>
      </w:r>
    </w:p>
    <w:p>
      <w:pPr>
        <w:numPr>
          <w:ilvl w:val="255"/>
          <w:numId w:val="0"/>
        </w:numPr>
        <w:spacing w:line="440" w:lineRule="exact"/>
        <w:jc w:val="left"/>
        <w:rPr>
          <w:rFonts w:ascii="宋体" w:hAnsi="宋体"/>
          <w:sz w:val="24"/>
          <w:lang w:bidi="ar"/>
        </w:rPr>
      </w:pPr>
      <w:r>
        <w:rPr>
          <w:rFonts w:hint="eastAsia" w:ascii="宋体" w:hAnsi="宋体"/>
          <w:sz w:val="24"/>
          <w:lang w:bidi="ar"/>
        </w:rPr>
        <w:t>3.6 输出脉冲频率：1-100Hz可调，允差为±15％；</w:t>
      </w:r>
    </w:p>
    <w:p>
      <w:pPr>
        <w:spacing w:line="440" w:lineRule="exact"/>
        <w:jc w:val="left"/>
        <w:rPr>
          <w:rFonts w:ascii="宋体" w:hAnsi="宋体"/>
          <w:sz w:val="24"/>
          <w:lang w:bidi="ar"/>
        </w:rPr>
      </w:pPr>
      <w:r>
        <w:rPr>
          <w:rFonts w:hint="eastAsia" w:ascii="宋体" w:hAnsi="宋体"/>
          <w:sz w:val="24"/>
          <w:lang w:bidi="ar"/>
        </w:rPr>
        <w:t>3.7工作模式：</w:t>
      </w:r>
    </w:p>
    <w:p>
      <w:pPr>
        <w:spacing w:line="440" w:lineRule="exact"/>
        <w:jc w:val="left"/>
        <w:rPr>
          <w:rFonts w:ascii="宋体" w:hAnsi="宋体"/>
          <w:sz w:val="24"/>
          <w:lang w:bidi="ar"/>
        </w:rPr>
      </w:pPr>
      <w:r>
        <w:rPr>
          <w:rFonts w:hint="eastAsia" w:ascii="宋体" w:hAnsi="宋体"/>
          <w:sz w:val="24"/>
          <w:lang w:bidi="ar"/>
        </w:rPr>
        <w:t>连续波工作模式：连续；</w:t>
      </w:r>
    </w:p>
    <w:p>
      <w:pPr>
        <w:spacing w:line="440" w:lineRule="exact"/>
        <w:jc w:val="left"/>
        <w:rPr>
          <w:rFonts w:ascii="宋体" w:hAnsi="宋体"/>
          <w:sz w:val="24"/>
          <w:lang w:bidi="ar"/>
        </w:rPr>
      </w:pPr>
      <w:r>
        <w:rPr>
          <w:rFonts w:hint="eastAsia" w:ascii="宋体" w:hAnsi="宋体"/>
          <w:sz w:val="24"/>
          <w:lang w:bidi="ar"/>
        </w:rPr>
        <w:t>断续波工作模式：工作15s，停5s；</w:t>
      </w:r>
    </w:p>
    <w:p>
      <w:pPr>
        <w:spacing w:line="440" w:lineRule="exact"/>
        <w:jc w:val="left"/>
        <w:rPr>
          <w:rFonts w:ascii="宋体" w:hAnsi="宋体"/>
          <w:sz w:val="24"/>
          <w:lang w:bidi="ar"/>
        </w:rPr>
      </w:pPr>
      <w:r>
        <w:rPr>
          <w:rFonts w:hint="eastAsia" w:ascii="宋体" w:hAnsi="宋体"/>
          <w:sz w:val="24"/>
          <w:lang w:bidi="ar"/>
        </w:rPr>
        <w:t>疏密波工作模式：疏波频率与密波频率之比1:5；疏波5s，密波10s。</w:t>
      </w:r>
    </w:p>
    <w:p>
      <w:pPr>
        <w:numPr>
          <w:ilvl w:val="0"/>
          <w:numId w:val="3"/>
        </w:numPr>
        <w:spacing w:line="440" w:lineRule="exact"/>
        <w:jc w:val="left"/>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采购包02：</w:t>
      </w:r>
    </w:p>
    <w:p>
      <w:pPr>
        <w:spacing w:line="440" w:lineRule="exact"/>
        <w:jc w:val="left"/>
        <w:rPr>
          <w:rFonts w:ascii="宋体" w:hAnsi="宋体"/>
          <w:b/>
          <w:bCs w:val="0"/>
          <w:sz w:val="24"/>
        </w:rPr>
      </w:pPr>
      <w:r>
        <w:rPr>
          <w:rFonts w:hint="eastAsia" w:ascii="宋体" w:hAnsi="宋体"/>
          <w:b/>
          <w:bCs w:val="0"/>
          <w:sz w:val="24"/>
        </w:rPr>
        <w:t>1.振动排痰仪：</w:t>
      </w:r>
    </w:p>
    <w:p>
      <w:pPr>
        <w:spacing w:line="440" w:lineRule="exact"/>
        <w:jc w:val="left"/>
        <w:rPr>
          <w:rFonts w:ascii="宋体" w:hAnsi="宋体"/>
          <w:bCs/>
          <w:sz w:val="24"/>
        </w:rPr>
      </w:pPr>
      <w:r>
        <w:rPr>
          <w:rFonts w:hint="eastAsia" w:ascii="宋体" w:hAnsi="宋体"/>
          <w:bCs/>
          <w:sz w:val="24"/>
        </w:rPr>
        <w:t>1.1 适用范围：协助术后、体弱患者增强排除呼吸系统痰液等分泌物的能力，改善淤滞的肺部血液循环状况，预防、减少呼吸系统并发症的发生；</w:t>
      </w:r>
    </w:p>
    <w:p>
      <w:pPr>
        <w:spacing w:line="440" w:lineRule="exact"/>
        <w:jc w:val="left"/>
        <w:rPr>
          <w:rFonts w:ascii="宋体" w:hAnsi="宋体"/>
          <w:bCs/>
          <w:sz w:val="24"/>
        </w:rPr>
      </w:pPr>
      <w:r>
        <w:rPr>
          <w:rFonts w:hint="eastAsia" w:ascii="宋体" w:hAnsi="宋体"/>
          <w:bCs/>
          <w:sz w:val="24"/>
        </w:rPr>
        <w:t>1.2 主要构成：由一台主机、一套传动系统和一套动力输出装置（即治疗头）等组成；</w:t>
      </w:r>
    </w:p>
    <w:p>
      <w:pPr>
        <w:spacing w:line="440" w:lineRule="exact"/>
        <w:jc w:val="left"/>
        <w:rPr>
          <w:rFonts w:ascii="宋体" w:hAnsi="宋体"/>
          <w:bCs/>
          <w:sz w:val="24"/>
        </w:rPr>
      </w:pPr>
      <w:r>
        <w:rPr>
          <w:rFonts w:hint="eastAsia" w:ascii="宋体" w:hAnsi="宋体"/>
          <w:bCs/>
          <w:sz w:val="24"/>
        </w:rPr>
        <w:t>1.3 结构形式：不可分拆的柜机推车式；</w:t>
      </w:r>
    </w:p>
    <w:p>
      <w:pPr>
        <w:spacing w:line="440" w:lineRule="exact"/>
        <w:jc w:val="left"/>
        <w:rPr>
          <w:rFonts w:ascii="宋体" w:hAnsi="宋体"/>
          <w:bCs/>
          <w:sz w:val="24"/>
        </w:rPr>
      </w:pPr>
      <w:r>
        <w:rPr>
          <w:rFonts w:hint="eastAsia" w:ascii="宋体" w:hAnsi="宋体"/>
          <w:bCs/>
          <w:sz w:val="24"/>
        </w:rPr>
        <w:t>1.4 显示方式：液晶显示界面；</w:t>
      </w:r>
    </w:p>
    <w:p>
      <w:pPr>
        <w:spacing w:line="440" w:lineRule="exact"/>
        <w:jc w:val="left"/>
        <w:rPr>
          <w:rFonts w:ascii="宋体" w:hAnsi="宋体"/>
          <w:bCs/>
          <w:sz w:val="24"/>
        </w:rPr>
      </w:pPr>
      <w:r>
        <w:rPr>
          <w:rFonts w:hint="eastAsia" w:ascii="宋体" w:hAnsi="宋体"/>
          <w:bCs/>
          <w:sz w:val="24"/>
        </w:rPr>
        <w:t>1.5 操作方式：一键飞梭的操作方式，所有功能的调节仅需通过对一个键施以旋转及按压动作即可全部完成，需提供专利证书佐证；</w:t>
      </w:r>
    </w:p>
    <w:p>
      <w:pPr>
        <w:spacing w:line="440" w:lineRule="exact"/>
        <w:jc w:val="left"/>
        <w:rPr>
          <w:rFonts w:ascii="宋体" w:hAnsi="宋体"/>
          <w:bCs/>
          <w:sz w:val="24"/>
        </w:rPr>
      </w:pPr>
      <w:r>
        <w:rPr>
          <w:rFonts w:hint="eastAsia" w:ascii="宋体" w:hAnsi="宋体"/>
          <w:bCs/>
          <w:sz w:val="24"/>
        </w:rPr>
        <w:t>1.6 输出路数：一路C型标准传动形式；</w:t>
      </w:r>
    </w:p>
    <w:p>
      <w:pPr>
        <w:spacing w:line="440" w:lineRule="exact"/>
        <w:jc w:val="left"/>
        <w:rPr>
          <w:rFonts w:ascii="宋体" w:hAnsi="宋体"/>
          <w:bCs/>
          <w:sz w:val="24"/>
        </w:rPr>
      </w:pPr>
      <w:r>
        <w:rPr>
          <w:rFonts w:hint="eastAsia" w:ascii="宋体" w:hAnsi="宋体"/>
          <w:bCs/>
          <w:sz w:val="24"/>
        </w:rPr>
        <w:t>1.7 标准传动形式：动力头外径尺寸50mm，配备6种不同型号的治疗头；</w:t>
      </w:r>
    </w:p>
    <w:p>
      <w:pPr>
        <w:spacing w:line="440" w:lineRule="exact"/>
        <w:jc w:val="left"/>
        <w:rPr>
          <w:rFonts w:ascii="宋体" w:hAnsi="宋体"/>
          <w:bCs/>
          <w:sz w:val="24"/>
        </w:rPr>
      </w:pPr>
      <w:r>
        <w:rPr>
          <w:rFonts w:hint="eastAsia" w:ascii="宋体" w:hAnsi="宋体"/>
          <w:bCs/>
          <w:sz w:val="24"/>
        </w:rPr>
        <w:t>1.8 传动动力头偏心距：3mm±0.5mm；</w:t>
      </w:r>
    </w:p>
    <w:p>
      <w:pPr>
        <w:spacing w:line="440" w:lineRule="exact"/>
        <w:jc w:val="left"/>
        <w:rPr>
          <w:rFonts w:ascii="宋体" w:hAnsi="宋体"/>
          <w:bCs/>
          <w:sz w:val="24"/>
        </w:rPr>
      </w:pPr>
      <w:r>
        <w:rPr>
          <w:rFonts w:hint="eastAsia" w:ascii="宋体" w:hAnsi="宋体"/>
          <w:bCs/>
          <w:sz w:val="24"/>
        </w:rPr>
        <w:t>1.9 伺服系统：具有动力补偿特性，动力补偿能力≥3Hz；</w:t>
      </w:r>
    </w:p>
    <w:p>
      <w:pPr>
        <w:numPr>
          <w:ilvl w:val="255"/>
          <w:numId w:val="0"/>
        </w:numPr>
        <w:spacing w:line="440" w:lineRule="exact"/>
        <w:jc w:val="left"/>
        <w:rPr>
          <w:rFonts w:ascii="宋体" w:hAnsi="宋体"/>
          <w:bCs/>
          <w:sz w:val="24"/>
        </w:rPr>
      </w:pPr>
      <w:r>
        <w:rPr>
          <w:rFonts w:hint="eastAsia" w:ascii="宋体" w:hAnsi="宋体"/>
          <w:bCs/>
          <w:sz w:val="24"/>
        </w:rPr>
        <w:t>1.10 工作模式：手动模式和自动程序模式；</w:t>
      </w:r>
    </w:p>
    <w:p>
      <w:pPr>
        <w:spacing w:line="440" w:lineRule="exact"/>
        <w:jc w:val="left"/>
        <w:rPr>
          <w:rFonts w:ascii="宋体" w:hAnsi="宋体"/>
          <w:bCs/>
          <w:sz w:val="24"/>
        </w:rPr>
      </w:pPr>
      <w:r>
        <w:rPr>
          <w:rFonts w:hint="eastAsia" w:ascii="宋体" w:hAnsi="宋体"/>
          <w:bCs/>
          <w:sz w:val="24"/>
        </w:rPr>
        <w:t>1.11 手动模式频率范围：10Hz～60Hz，频率连续可调，步距为1Hz；</w:t>
      </w:r>
    </w:p>
    <w:p>
      <w:pPr>
        <w:spacing w:line="440" w:lineRule="exact"/>
        <w:jc w:val="left"/>
        <w:rPr>
          <w:rFonts w:ascii="宋体" w:hAnsi="宋体"/>
          <w:bCs/>
          <w:sz w:val="24"/>
        </w:rPr>
      </w:pPr>
      <w:r>
        <w:rPr>
          <w:rFonts w:hint="eastAsia" w:ascii="宋体" w:hAnsi="宋体"/>
          <w:bCs/>
          <w:sz w:val="24"/>
        </w:rPr>
        <w:t>1.12 手动模式定时范围：1min-60min，连续可调，步距1min；</w:t>
      </w:r>
    </w:p>
    <w:p>
      <w:pPr>
        <w:spacing w:line="440" w:lineRule="exact"/>
        <w:jc w:val="left"/>
        <w:rPr>
          <w:rFonts w:ascii="宋体" w:hAnsi="宋体"/>
          <w:bCs/>
          <w:sz w:val="24"/>
        </w:rPr>
      </w:pPr>
      <w:r>
        <w:rPr>
          <w:rFonts w:hint="eastAsia" w:ascii="宋体" w:hAnsi="宋体"/>
          <w:bCs/>
          <w:sz w:val="24"/>
        </w:rPr>
        <w:t>1.13 自动程序模式：共有四种自动程序模式；</w:t>
      </w:r>
    </w:p>
    <w:p>
      <w:pPr>
        <w:spacing w:line="440" w:lineRule="exact"/>
        <w:jc w:val="left"/>
        <w:rPr>
          <w:rFonts w:ascii="宋体" w:hAnsi="宋体"/>
          <w:bCs/>
          <w:sz w:val="24"/>
        </w:rPr>
      </w:pPr>
      <w:r>
        <w:rPr>
          <w:rFonts w:hint="eastAsia" w:ascii="宋体" w:hAnsi="宋体"/>
          <w:bCs/>
          <w:sz w:val="24"/>
        </w:rPr>
        <w:t>1.14 自动模式定时范围：5min、10min、15min、20min；</w:t>
      </w:r>
    </w:p>
    <w:p>
      <w:pPr>
        <w:spacing w:line="440" w:lineRule="exact"/>
        <w:jc w:val="left"/>
        <w:rPr>
          <w:rFonts w:ascii="宋体" w:hAnsi="宋体"/>
          <w:bCs/>
          <w:sz w:val="24"/>
        </w:rPr>
      </w:pPr>
      <w:r>
        <w:rPr>
          <w:rFonts w:hint="eastAsia" w:ascii="宋体" w:hAnsi="宋体"/>
          <w:bCs/>
          <w:sz w:val="24"/>
        </w:rPr>
        <w:t>1.15 电磁兼容性：治疗仪电磁兼容性能应符合YY0505-2012 的相关要求；</w:t>
      </w:r>
    </w:p>
    <w:p>
      <w:pPr>
        <w:spacing w:line="440" w:lineRule="exact"/>
        <w:jc w:val="left"/>
        <w:rPr>
          <w:rFonts w:ascii="宋体" w:hAnsi="宋体"/>
          <w:bCs/>
          <w:sz w:val="24"/>
        </w:rPr>
      </w:pPr>
      <w:r>
        <w:rPr>
          <w:rFonts w:hint="eastAsia" w:ascii="宋体" w:hAnsi="宋体"/>
          <w:bCs/>
          <w:sz w:val="24"/>
        </w:rPr>
        <w:t>1.16设备使用期限至少10年。</w:t>
      </w:r>
    </w:p>
    <w:p>
      <w:pPr>
        <w:numPr>
          <w:ilvl w:val="255"/>
          <w:numId w:val="0"/>
        </w:numPr>
        <w:spacing w:line="440" w:lineRule="exact"/>
        <w:jc w:val="left"/>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2.活检枪：</w:t>
      </w:r>
    </w:p>
    <w:p>
      <w:pPr>
        <w:numPr>
          <w:ilvl w:val="255"/>
          <w:numId w:val="0"/>
        </w:numPr>
        <w:spacing w:line="440" w:lineRule="exact"/>
        <w:jc w:val="left"/>
        <w:rPr>
          <w:rFonts w:ascii="宋体" w:hAnsi="宋体"/>
          <w:bCs/>
          <w:sz w:val="24"/>
        </w:rPr>
      </w:pPr>
      <w:r>
        <w:rPr>
          <w:rFonts w:hint="eastAsia" w:ascii="宋体" w:hAnsi="宋体"/>
          <w:bCs/>
          <w:sz w:val="24"/>
        </w:rPr>
        <w:t>2.1 主要功能：用于乳腺、淋巴结等各种软组织肿瘤的组织活检</w:t>
      </w:r>
    </w:p>
    <w:p>
      <w:pPr>
        <w:spacing w:line="440" w:lineRule="exact"/>
        <w:jc w:val="left"/>
        <w:rPr>
          <w:rFonts w:ascii="宋体" w:hAnsi="宋体"/>
          <w:bCs/>
          <w:sz w:val="24"/>
        </w:rPr>
      </w:pPr>
      <w:r>
        <w:rPr>
          <w:rFonts w:hint="eastAsia" w:ascii="宋体" w:hAnsi="宋体"/>
          <w:bCs/>
          <w:sz w:val="24"/>
        </w:rPr>
        <w:t>2.2 使用：消毒后可重复使用；</w:t>
      </w:r>
    </w:p>
    <w:p>
      <w:pPr>
        <w:spacing w:line="440" w:lineRule="exact"/>
        <w:jc w:val="left"/>
        <w:rPr>
          <w:rFonts w:ascii="宋体" w:hAnsi="宋体"/>
          <w:bCs/>
          <w:sz w:val="24"/>
        </w:rPr>
      </w:pPr>
      <w:r>
        <w:rPr>
          <w:rFonts w:hint="eastAsia" w:ascii="宋体" w:hAnsi="宋体"/>
          <w:bCs/>
          <w:sz w:val="24"/>
        </w:rPr>
        <w:t>2.3 操作方式：触发按钮操作；</w:t>
      </w:r>
    </w:p>
    <w:p>
      <w:pPr>
        <w:numPr>
          <w:ilvl w:val="255"/>
          <w:numId w:val="0"/>
        </w:numPr>
        <w:spacing w:line="440" w:lineRule="exact"/>
        <w:jc w:val="left"/>
        <w:rPr>
          <w:rFonts w:ascii="宋体" w:hAnsi="宋体"/>
          <w:bCs/>
          <w:sz w:val="24"/>
        </w:rPr>
      </w:pPr>
      <w:r>
        <w:rPr>
          <w:rFonts w:hint="eastAsia" w:ascii="宋体" w:hAnsi="宋体"/>
          <w:bCs/>
          <w:sz w:val="24"/>
        </w:rPr>
        <w:t>2.4 安全装置：发射安全栓、激活标志；</w:t>
      </w:r>
    </w:p>
    <w:p>
      <w:pPr>
        <w:numPr>
          <w:ilvl w:val="255"/>
          <w:numId w:val="0"/>
        </w:numPr>
        <w:spacing w:line="440" w:lineRule="exact"/>
        <w:jc w:val="left"/>
        <w:rPr>
          <w:rFonts w:ascii="宋体" w:hAnsi="宋体"/>
          <w:bCs/>
          <w:sz w:val="24"/>
        </w:rPr>
      </w:pPr>
      <w:r>
        <w:rPr>
          <w:rFonts w:hint="eastAsia" w:ascii="宋体" w:hAnsi="宋体"/>
          <w:bCs/>
          <w:sz w:val="24"/>
        </w:rPr>
        <w:t>2.5 发射长度：可调节；</w:t>
      </w:r>
    </w:p>
    <w:p>
      <w:pPr>
        <w:spacing w:line="440" w:lineRule="exact"/>
        <w:jc w:val="left"/>
        <w:rPr>
          <w:rFonts w:ascii="宋体" w:hAnsi="宋体"/>
          <w:bCs/>
          <w:sz w:val="24"/>
        </w:rPr>
      </w:pPr>
      <w:r>
        <w:rPr>
          <w:rFonts w:hint="eastAsia" w:ascii="宋体" w:hAnsi="宋体"/>
          <w:bCs/>
          <w:sz w:val="24"/>
        </w:rPr>
        <w:t>2.6 可匹配16G*10cm的穿刺针。</w:t>
      </w:r>
    </w:p>
    <w:p>
      <w:pPr>
        <w:spacing w:line="440" w:lineRule="exact"/>
        <w:jc w:val="left"/>
        <w:rPr>
          <w:rFonts w:ascii="宋体" w:hAnsi="宋体"/>
          <w:b/>
          <w:bCs w:val="0"/>
          <w:sz w:val="24"/>
        </w:rPr>
      </w:pPr>
      <w:r>
        <w:rPr>
          <w:rFonts w:hint="eastAsia" w:ascii="宋体" w:hAnsi="宋体"/>
          <w:b/>
          <w:bCs w:val="0"/>
          <w:sz w:val="24"/>
        </w:rPr>
        <w:t>3.弱视综合治疗仪：</w:t>
      </w:r>
    </w:p>
    <w:p>
      <w:pPr>
        <w:widowControl/>
        <w:spacing w:line="440" w:lineRule="exact"/>
        <w:jc w:val="left"/>
        <w:rPr>
          <w:rFonts w:ascii="宋体" w:hAnsi="宋体"/>
          <w:bCs/>
          <w:sz w:val="24"/>
        </w:rPr>
      </w:pPr>
      <w:r>
        <w:rPr>
          <w:rFonts w:hint="eastAsia" w:ascii="宋体" w:hAnsi="宋体"/>
          <w:bCs/>
          <w:sz w:val="24"/>
        </w:rPr>
        <w:t>3.1 ▲适用人群:（屈光不正、屈光参差、形觉剥夺，斜视形成的弱视)各类型，各程度的弱视患者；</w:t>
      </w:r>
    </w:p>
    <w:p>
      <w:pPr>
        <w:widowControl/>
        <w:spacing w:line="440" w:lineRule="exact"/>
        <w:jc w:val="left"/>
        <w:rPr>
          <w:rFonts w:ascii="宋体" w:hAnsi="宋体"/>
          <w:bCs/>
          <w:sz w:val="24"/>
        </w:rPr>
      </w:pPr>
      <w:r>
        <w:rPr>
          <w:rFonts w:hint="eastAsia" w:ascii="宋体" w:hAnsi="宋体"/>
          <w:bCs/>
          <w:sz w:val="24"/>
        </w:rPr>
        <w:t>3.2 适用对象年龄:6个月-60 岁；</w:t>
      </w:r>
    </w:p>
    <w:p>
      <w:pPr>
        <w:widowControl/>
        <w:spacing w:line="440" w:lineRule="exact"/>
        <w:jc w:val="left"/>
        <w:rPr>
          <w:rFonts w:ascii="宋体" w:hAnsi="宋体"/>
          <w:bCs/>
          <w:sz w:val="24"/>
        </w:rPr>
      </w:pPr>
      <w:r>
        <w:rPr>
          <w:rFonts w:hint="eastAsia" w:ascii="宋体" w:hAnsi="宋体"/>
          <w:bCs/>
          <w:sz w:val="24"/>
        </w:rPr>
        <w:t>3.3 仪器包含功能:红闪、光刷、光栅、高对比、中对比、低对比、后像、视觉刺激、同时视、融合视、立体视、差异视、视觉追踪、绿闪、眼肌训练、裸眼立体、色光增视、机内视力测试；</w:t>
      </w:r>
    </w:p>
    <w:p>
      <w:pPr>
        <w:widowControl/>
        <w:spacing w:line="440" w:lineRule="exact"/>
        <w:jc w:val="left"/>
        <w:rPr>
          <w:rFonts w:ascii="宋体" w:hAnsi="宋体"/>
          <w:bCs/>
          <w:sz w:val="24"/>
        </w:rPr>
      </w:pPr>
      <w:r>
        <w:rPr>
          <w:rFonts w:hint="eastAsia" w:ascii="宋体" w:hAnsi="宋体"/>
          <w:bCs/>
          <w:sz w:val="24"/>
        </w:rPr>
        <w:t>3.4 操作模式：双目/单目；</w:t>
      </w:r>
    </w:p>
    <w:p>
      <w:pPr>
        <w:widowControl/>
        <w:spacing w:line="440" w:lineRule="exact"/>
        <w:jc w:val="left"/>
        <w:rPr>
          <w:rFonts w:ascii="宋体" w:hAnsi="宋体"/>
          <w:bCs/>
          <w:sz w:val="24"/>
        </w:rPr>
      </w:pPr>
      <w:r>
        <w:rPr>
          <w:rFonts w:hint="eastAsia" w:ascii="宋体" w:hAnsi="宋体"/>
          <w:bCs/>
          <w:sz w:val="24"/>
        </w:rPr>
        <w:t>3.5 ▲训练距离要求：眼离目镜3CM；</w:t>
      </w:r>
    </w:p>
    <w:p>
      <w:pPr>
        <w:widowControl/>
        <w:spacing w:line="440" w:lineRule="exact"/>
        <w:jc w:val="left"/>
        <w:rPr>
          <w:rFonts w:ascii="宋体" w:hAnsi="宋体"/>
          <w:bCs/>
          <w:sz w:val="24"/>
        </w:rPr>
      </w:pPr>
      <w:r>
        <w:rPr>
          <w:rFonts w:hint="eastAsia" w:ascii="宋体" w:hAnsi="宋体"/>
          <w:bCs/>
          <w:sz w:val="24"/>
        </w:rPr>
        <w:t>3.6 ▲各项功能工作时间：3-5分钟一个项目；</w:t>
      </w:r>
    </w:p>
    <w:p>
      <w:pPr>
        <w:widowControl/>
        <w:spacing w:line="440" w:lineRule="exact"/>
        <w:jc w:val="left"/>
        <w:rPr>
          <w:rFonts w:ascii="宋体" w:hAnsi="宋体"/>
          <w:bCs/>
          <w:sz w:val="24"/>
        </w:rPr>
      </w:pPr>
      <w:r>
        <w:rPr>
          <w:rFonts w:hint="eastAsia" w:ascii="宋体" w:hAnsi="宋体"/>
          <w:bCs/>
          <w:sz w:val="24"/>
        </w:rPr>
        <w:t>3.7 后像光最大光照度在0Lx～1200Lx范围内；</w:t>
      </w:r>
      <w:r>
        <w:rPr>
          <w:rFonts w:hint="eastAsia" w:ascii="宋体" w:hAnsi="宋体"/>
          <w:bCs/>
          <w:sz w:val="24"/>
        </w:rPr>
        <w:tab/>
      </w:r>
      <w:r>
        <w:rPr>
          <w:rFonts w:hint="eastAsia" w:ascii="宋体" w:hAnsi="宋体"/>
          <w:bCs/>
          <w:sz w:val="24"/>
        </w:rPr>
        <w:br w:type="textWrapping"/>
      </w:r>
      <w:r>
        <w:rPr>
          <w:rFonts w:hint="eastAsia" w:ascii="宋体" w:hAnsi="宋体"/>
          <w:bCs/>
          <w:sz w:val="24"/>
        </w:rPr>
        <w:t>3.8 红光闪烁频率为&gt;5次/min ，熔断器：F0.3AL250V；</w:t>
      </w:r>
    </w:p>
    <w:p>
      <w:pPr>
        <w:widowControl/>
        <w:spacing w:line="440" w:lineRule="exact"/>
        <w:jc w:val="left"/>
        <w:rPr>
          <w:rFonts w:ascii="宋体" w:hAnsi="宋体"/>
          <w:bCs/>
          <w:sz w:val="24"/>
        </w:rPr>
      </w:pPr>
      <w:r>
        <w:rPr>
          <w:rFonts w:hint="eastAsia" w:ascii="宋体" w:hAnsi="宋体"/>
          <w:bCs/>
          <w:sz w:val="24"/>
        </w:rPr>
        <w:t>3.9▲波长要求：红光640nm，蓝光420nm 绿光500 nm；</w:t>
      </w:r>
    </w:p>
    <w:p>
      <w:pPr>
        <w:widowControl/>
        <w:spacing w:line="440" w:lineRule="exact"/>
        <w:jc w:val="left"/>
        <w:rPr>
          <w:rFonts w:ascii="宋体" w:hAnsi="宋体"/>
          <w:bCs/>
          <w:sz w:val="24"/>
        </w:rPr>
      </w:pPr>
      <w:r>
        <w:rPr>
          <w:rFonts w:hint="eastAsia" w:ascii="宋体" w:hAnsi="宋体"/>
          <w:bCs/>
          <w:sz w:val="24"/>
        </w:rPr>
        <w:t xml:space="preserve">3.10 </w:t>
      </w:r>
      <w:r>
        <w:rPr>
          <w:rFonts w:hint="eastAsia" w:ascii="宋体" w:hAnsi="宋体" w:cs="宋体"/>
          <w:color w:val="231916"/>
          <w:sz w:val="28"/>
          <w:szCs w:val="28"/>
        </w:rPr>
        <w:t>★</w:t>
      </w:r>
      <w:r>
        <w:rPr>
          <w:rFonts w:hint="eastAsia" w:ascii="宋体" w:hAnsi="宋体"/>
          <w:bCs/>
          <w:sz w:val="24"/>
        </w:rPr>
        <w:t>配置要求：随机附件需配置：(1)红卡1个 (2)蓝卡1个 (3)白卡1个</w:t>
      </w:r>
      <w:r>
        <w:rPr>
          <w:rFonts w:hint="eastAsia" w:ascii="宋体" w:hAnsi="宋体"/>
          <w:bCs/>
          <w:sz w:val="24"/>
        </w:rPr>
        <w:drawing>
          <wp:anchor distT="0" distB="0" distL="114300" distR="114300" simplePos="0" relativeHeight="251659264" behindDoc="0" locked="0" layoutInCell="1" allowOverlap="1">
            <wp:simplePos x="0" y="0"/>
            <wp:positionH relativeFrom="column">
              <wp:posOffset>-2836545</wp:posOffset>
            </wp:positionH>
            <wp:positionV relativeFrom="paragraph">
              <wp:posOffset>1088390</wp:posOffset>
            </wp:positionV>
            <wp:extent cx="294005" cy="248285"/>
            <wp:effectExtent l="0" t="0" r="10795" b="18415"/>
            <wp:wrapNone/>
            <wp:docPr id="2" name="图片 2" descr="黄色金属星孤立在白色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黄色金属星孤立在白色背景"/>
                    <pic:cNvPicPr>
                      <a:picLocks noChangeAspect="1"/>
                    </pic:cNvPicPr>
                  </pic:nvPicPr>
                  <pic:blipFill>
                    <a:blip r:embed="rId5"/>
                    <a:stretch>
                      <a:fillRect/>
                    </a:stretch>
                  </pic:blipFill>
                  <pic:spPr>
                    <a:xfrm>
                      <a:off x="0" y="0"/>
                      <a:ext cx="294005" cy="248285"/>
                    </a:xfrm>
                    <a:prstGeom prst="rect">
                      <a:avLst/>
                    </a:prstGeom>
                    <a:noFill/>
                    <a:ln>
                      <a:noFill/>
                    </a:ln>
                  </pic:spPr>
                </pic:pic>
              </a:graphicData>
            </a:graphic>
          </wp:anchor>
        </w:drawing>
      </w:r>
      <w:r>
        <w:rPr>
          <w:rFonts w:hint="eastAsia" w:ascii="宋体" w:hAnsi="宋体"/>
          <w:bCs/>
          <w:sz w:val="24"/>
        </w:rPr>
        <w:t>(4)绿卡1个(5)黄卡1个 (6)保修卡1张(7)操作说明书1份(8)描图笔1支(9)抹镜布1块(10)眼盖1个</w:t>
      </w:r>
      <w:r>
        <w:rPr>
          <w:rFonts w:hint="eastAsia" w:ascii="宋体" w:hAnsi="宋体"/>
          <w:bCs/>
          <w:sz w:val="24"/>
          <w:lang w:eastAsia="zh-CN"/>
        </w:rPr>
        <w:t>。</w:t>
      </w:r>
      <w:r>
        <w:rPr>
          <w:rFonts w:hint="eastAsia" w:ascii="宋体" w:hAnsi="宋体"/>
          <w:bCs/>
          <w:sz w:val="24"/>
        </w:rPr>
        <w:br w:type="textWrapping"/>
      </w:r>
    </w:p>
    <w:p>
      <w:pPr>
        <w:spacing w:line="440" w:lineRule="exact"/>
        <w:jc w:val="left"/>
        <w:rPr>
          <w:rFonts w:ascii="宋体" w:hAnsi="宋体"/>
          <w:bCs/>
          <w:sz w:val="24"/>
        </w:rPr>
      </w:pPr>
    </w:p>
    <w:p>
      <w:pPr>
        <w:numPr>
          <w:ilvl w:val="255"/>
          <w:numId w:val="0"/>
        </w:numPr>
        <w:spacing w:line="440" w:lineRule="exact"/>
        <w:jc w:val="left"/>
        <w:rPr>
          <w:rFonts w:ascii="宋体" w:hAnsi="宋体" w:eastAsia="宋体" w:cs="宋体"/>
          <w:color w:val="000000" w:themeColor="text1"/>
          <w:sz w:val="24"/>
          <w:szCs w:val="24"/>
          <w14:textFill>
            <w14:solidFill>
              <w14:schemeClr w14:val="tx1"/>
            </w14:solidFill>
          </w14:textFill>
        </w:rPr>
      </w:pPr>
    </w:p>
    <w:p>
      <w:pPr>
        <w:spacing w:line="440" w:lineRule="exact"/>
        <w:jc w:val="left"/>
        <w:rPr>
          <w:rFonts w:ascii="宋体" w:hAnsi="宋体" w:eastAsia="宋体" w:cs="宋体"/>
          <w:color w:val="000000" w:themeColor="text1"/>
          <w:sz w:val="24"/>
          <w:szCs w:val="24"/>
          <w14:textFill>
            <w14:solidFill>
              <w14:schemeClr w14:val="tx1"/>
            </w14:solidFill>
          </w14:textFill>
        </w:rPr>
      </w:pPr>
    </w:p>
    <w:p>
      <w:pPr>
        <w:spacing w:line="440" w:lineRule="exact"/>
        <w:jc w:val="left"/>
        <w:rPr>
          <w:rFonts w:ascii="宋体" w:hAnsi="宋体" w:eastAsia="宋体" w:cs="宋体"/>
          <w:color w:val="000000" w:themeColor="text1"/>
          <w:sz w:val="24"/>
          <w:szCs w:val="24"/>
          <w14:textFill>
            <w14:solidFill>
              <w14:schemeClr w14:val="tx1"/>
            </w14:solidFill>
          </w14:textFill>
        </w:rPr>
      </w:pPr>
    </w:p>
    <w:p>
      <w:pPr>
        <w:spacing w:line="440" w:lineRule="exact"/>
        <w:jc w:val="left"/>
        <w:rPr>
          <w:rFonts w:ascii="宋体" w:hAnsi="宋体"/>
          <w:sz w:val="24"/>
          <w:lang w:bidi="ar"/>
        </w:rPr>
      </w:pPr>
    </w:p>
    <w:p>
      <w:pPr>
        <w:spacing w:line="360" w:lineRule="auto"/>
        <w:jc w:val="left"/>
        <w:rPr>
          <w:rFonts w:ascii="华文中宋" w:hAnsi="华文中宋" w:eastAsia="华文中宋"/>
          <w:b/>
          <w:color w:val="000000" w:themeColor="text1"/>
          <w:sz w:val="32"/>
          <w14:textFill>
            <w14:solidFill>
              <w14:schemeClr w14:val="tx1"/>
            </w14:solidFill>
          </w14:textFill>
        </w:rPr>
      </w:pPr>
    </w:p>
    <w:p>
      <w:pPr>
        <w:spacing w:line="360" w:lineRule="auto"/>
        <w:jc w:val="left"/>
        <w:rPr>
          <w:rFonts w:ascii="华文中宋" w:hAnsi="华文中宋" w:eastAsia="华文中宋"/>
          <w:b/>
          <w:color w:val="000000" w:themeColor="text1"/>
          <w:sz w:val="32"/>
          <w14:textFill>
            <w14:solidFill>
              <w14:schemeClr w14:val="tx1"/>
            </w14:solidFill>
          </w14:textFill>
        </w:rPr>
      </w:pPr>
    </w:p>
    <w:p>
      <w:pPr>
        <w:spacing w:line="360" w:lineRule="auto"/>
        <w:jc w:val="left"/>
        <w:rPr>
          <w:rFonts w:ascii="华文中宋" w:hAnsi="华文中宋" w:eastAsia="华文中宋"/>
          <w:b/>
          <w:color w:val="000000" w:themeColor="text1"/>
          <w:sz w:val="32"/>
          <w14:textFill>
            <w14:solidFill>
              <w14:schemeClr w14:val="tx1"/>
            </w14:solidFill>
          </w14:textFill>
        </w:rPr>
      </w:pPr>
    </w:p>
    <w:p/>
    <w:sectPr>
      <w:footerReference r:id="rId3" w:type="default"/>
      <w:pgSz w:w="11906" w:h="16838"/>
      <w:pgMar w:top="1417" w:right="850" w:bottom="1417"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B0604020202020204"/>
    <w:charset w:val="00"/>
    <w:family w:val="roman"/>
    <w:pitch w:val="default"/>
    <w:sig w:usb0="00000000" w:usb1="00000000" w:usb2="00000000" w:usb3="00000000" w:csb0="00000001" w:csb1="00000000"/>
  </w:font>
  <w:font w:name="Helvetica">
    <w:altName w:val="Arial"/>
    <w:panose1 w:val="00000000000000000000"/>
    <w:charset w:val="00"/>
    <w:family w:val="auto"/>
    <w:pitch w:val="default"/>
    <w:sig w:usb0="00000000" w:usb1="00000000" w:usb2="00000000" w:usb3="00000000" w:csb0="0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3347B1"/>
    <w:multiLevelType w:val="singleLevel"/>
    <w:tmpl w:val="AD3347B1"/>
    <w:lvl w:ilvl="0" w:tentative="0">
      <w:start w:val="1"/>
      <w:numFmt w:val="chineseCounting"/>
      <w:suff w:val="nothing"/>
      <w:lvlText w:val="%1、"/>
      <w:lvlJc w:val="left"/>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644"/>
        </w:tabs>
      </w:pPr>
      <w:rPr>
        <w:rFonts w:cs="Times New Roman"/>
      </w:rPr>
    </w:lvl>
    <w:lvl w:ilvl="3" w:tentative="0">
      <w:start w:val="0"/>
      <w:numFmt w:val="none"/>
      <w:lvlText w:val=""/>
      <w:lvlJc w:val="left"/>
      <w:pPr>
        <w:tabs>
          <w:tab w:val="left" w:pos="644"/>
        </w:tabs>
      </w:pPr>
      <w:rPr>
        <w:rFonts w:cs="Times New Roman"/>
      </w:rPr>
    </w:lvl>
    <w:lvl w:ilvl="4" w:tentative="0">
      <w:start w:val="0"/>
      <w:numFmt w:val="decimal"/>
      <w:pStyle w:val="3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66E9BD1E"/>
    <w:multiLevelType w:val="singleLevel"/>
    <w:tmpl w:val="66E9BD1E"/>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B2E43"/>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57FD0"/>
    <w:rsid w:val="00A716F4"/>
    <w:rsid w:val="00A73043"/>
    <w:rsid w:val="00AA098A"/>
    <w:rsid w:val="00AA66BC"/>
    <w:rsid w:val="00AD0AB5"/>
    <w:rsid w:val="00AD7793"/>
    <w:rsid w:val="00B0488C"/>
    <w:rsid w:val="00B06CA9"/>
    <w:rsid w:val="00B12D10"/>
    <w:rsid w:val="00B140BC"/>
    <w:rsid w:val="00B21A3D"/>
    <w:rsid w:val="00B25892"/>
    <w:rsid w:val="00B33735"/>
    <w:rsid w:val="00B6313B"/>
    <w:rsid w:val="00B7786F"/>
    <w:rsid w:val="00B77C92"/>
    <w:rsid w:val="00B955DF"/>
    <w:rsid w:val="00BD4BA7"/>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AF66BC"/>
    <w:rsid w:val="022C5D48"/>
    <w:rsid w:val="02967325"/>
    <w:rsid w:val="02DA5839"/>
    <w:rsid w:val="0343669F"/>
    <w:rsid w:val="03D9731E"/>
    <w:rsid w:val="04557B19"/>
    <w:rsid w:val="04682E6D"/>
    <w:rsid w:val="049912AC"/>
    <w:rsid w:val="04C61298"/>
    <w:rsid w:val="05A83606"/>
    <w:rsid w:val="05F62118"/>
    <w:rsid w:val="06380241"/>
    <w:rsid w:val="069F560A"/>
    <w:rsid w:val="07973EE6"/>
    <w:rsid w:val="07C94BE1"/>
    <w:rsid w:val="07DE6769"/>
    <w:rsid w:val="07E00A0F"/>
    <w:rsid w:val="087F78BA"/>
    <w:rsid w:val="095A6A56"/>
    <w:rsid w:val="09CA2C87"/>
    <w:rsid w:val="09E54036"/>
    <w:rsid w:val="0A325ADB"/>
    <w:rsid w:val="0B216CF4"/>
    <w:rsid w:val="0B353F6E"/>
    <w:rsid w:val="0C580A4E"/>
    <w:rsid w:val="0E237614"/>
    <w:rsid w:val="0EF652A0"/>
    <w:rsid w:val="0F26150C"/>
    <w:rsid w:val="0F3436E0"/>
    <w:rsid w:val="0F6D5B99"/>
    <w:rsid w:val="0FAA6A76"/>
    <w:rsid w:val="0FEE4D13"/>
    <w:rsid w:val="1061346A"/>
    <w:rsid w:val="12100E62"/>
    <w:rsid w:val="12542DDE"/>
    <w:rsid w:val="137B38DC"/>
    <w:rsid w:val="146B53DF"/>
    <w:rsid w:val="151A349C"/>
    <w:rsid w:val="16AC0EAA"/>
    <w:rsid w:val="16D20FE6"/>
    <w:rsid w:val="17044079"/>
    <w:rsid w:val="17373CEB"/>
    <w:rsid w:val="17500414"/>
    <w:rsid w:val="177D1B56"/>
    <w:rsid w:val="182F4CA9"/>
    <w:rsid w:val="188C4A43"/>
    <w:rsid w:val="195C3707"/>
    <w:rsid w:val="1B040AF0"/>
    <w:rsid w:val="1B7F6894"/>
    <w:rsid w:val="1B811C08"/>
    <w:rsid w:val="1C004A55"/>
    <w:rsid w:val="1DD80BF7"/>
    <w:rsid w:val="1E8B6382"/>
    <w:rsid w:val="1E9268BE"/>
    <w:rsid w:val="1EFB394F"/>
    <w:rsid w:val="2086495D"/>
    <w:rsid w:val="20F56432"/>
    <w:rsid w:val="21012DCF"/>
    <w:rsid w:val="218E2A3A"/>
    <w:rsid w:val="22246CB4"/>
    <w:rsid w:val="23C96556"/>
    <w:rsid w:val="23D504F4"/>
    <w:rsid w:val="23E24D51"/>
    <w:rsid w:val="246F59E3"/>
    <w:rsid w:val="24DA7466"/>
    <w:rsid w:val="256746D6"/>
    <w:rsid w:val="26B72586"/>
    <w:rsid w:val="27807BE0"/>
    <w:rsid w:val="29DA40B8"/>
    <w:rsid w:val="29FD5AAD"/>
    <w:rsid w:val="2B4F2CEF"/>
    <w:rsid w:val="2BBC1282"/>
    <w:rsid w:val="2C723060"/>
    <w:rsid w:val="2CF35149"/>
    <w:rsid w:val="2DC8218D"/>
    <w:rsid w:val="2E102ABB"/>
    <w:rsid w:val="2F5659F3"/>
    <w:rsid w:val="2FE55F1B"/>
    <w:rsid w:val="30191AD6"/>
    <w:rsid w:val="30FB7E9E"/>
    <w:rsid w:val="323325C4"/>
    <w:rsid w:val="324E0614"/>
    <w:rsid w:val="328B017F"/>
    <w:rsid w:val="3292324B"/>
    <w:rsid w:val="329342B5"/>
    <w:rsid w:val="32C1268D"/>
    <w:rsid w:val="35006E33"/>
    <w:rsid w:val="360B655D"/>
    <w:rsid w:val="3794592A"/>
    <w:rsid w:val="38B05953"/>
    <w:rsid w:val="38B745E0"/>
    <w:rsid w:val="393671C3"/>
    <w:rsid w:val="39D45C36"/>
    <w:rsid w:val="3A1640E8"/>
    <w:rsid w:val="3A8B6411"/>
    <w:rsid w:val="3B9D6276"/>
    <w:rsid w:val="3BFA37AC"/>
    <w:rsid w:val="3C937993"/>
    <w:rsid w:val="3D4663AF"/>
    <w:rsid w:val="3E8576EC"/>
    <w:rsid w:val="3F703160"/>
    <w:rsid w:val="3FC91C02"/>
    <w:rsid w:val="407C7408"/>
    <w:rsid w:val="411E528A"/>
    <w:rsid w:val="41936CCC"/>
    <w:rsid w:val="419E4D6E"/>
    <w:rsid w:val="41BD651D"/>
    <w:rsid w:val="423934A4"/>
    <w:rsid w:val="42621BDA"/>
    <w:rsid w:val="42C159A0"/>
    <w:rsid w:val="42E70D20"/>
    <w:rsid w:val="435B4FED"/>
    <w:rsid w:val="435C1AAA"/>
    <w:rsid w:val="43923A02"/>
    <w:rsid w:val="43B17106"/>
    <w:rsid w:val="44FF23DB"/>
    <w:rsid w:val="45DB5113"/>
    <w:rsid w:val="45FA22EB"/>
    <w:rsid w:val="460B369C"/>
    <w:rsid w:val="46986527"/>
    <w:rsid w:val="471F4DD5"/>
    <w:rsid w:val="48E65B64"/>
    <w:rsid w:val="490907D4"/>
    <w:rsid w:val="4931425C"/>
    <w:rsid w:val="49974FAF"/>
    <w:rsid w:val="49AC6DDF"/>
    <w:rsid w:val="4A7E1328"/>
    <w:rsid w:val="4B623F21"/>
    <w:rsid w:val="4D744DB2"/>
    <w:rsid w:val="4D7A092A"/>
    <w:rsid w:val="4EBA0170"/>
    <w:rsid w:val="4FBD2120"/>
    <w:rsid w:val="4FD65049"/>
    <w:rsid w:val="50CB7074"/>
    <w:rsid w:val="511A355D"/>
    <w:rsid w:val="513762CB"/>
    <w:rsid w:val="51950AC2"/>
    <w:rsid w:val="51DB5939"/>
    <w:rsid w:val="53AB2F4B"/>
    <w:rsid w:val="53E94A32"/>
    <w:rsid w:val="55B5596C"/>
    <w:rsid w:val="56D145E5"/>
    <w:rsid w:val="57003156"/>
    <w:rsid w:val="58885FE0"/>
    <w:rsid w:val="5905525D"/>
    <w:rsid w:val="59A61C5F"/>
    <w:rsid w:val="59D75EB0"/>
    <w:rsid w:val="5A2F5580"/>
    <w:rsid w:val="5A493582"/>
    <w:rsid w:val="5A7E7600"/>
    <w:rsid w:val="5AAD0A57"/>
    <w:rsid w:val="5BB61575"/>
    <w:rsid w:val="5D1024FF"/>
    <w:rsid w:val="5DBD70E7"/>
    <w:rsid w:val="5EA6596C"/>
    <w:rsid w:val="5ED65EE2"/>
    <w:rsid w:val="5F141197"/>
    <w:rsid w:val="5F817894"/>
    <w:rsid w:val="6066691B"/>
    <w:rsid w:val="61F31C9B"/>
    <w:rsid w:val="62146F60"/>
    <w:rsid w:val="62F2388B"/>
    <w:rsid w:val="637B3DE7"/>
    <w:rsid w:val="63934138"/>
    <w:rsid w:val="63DB63D1"/>
    <w:rsid w:val="659E75B1"/>
    <w:rsid w:val="65E158A6"/>
    <w:rsid w:val="68E06C2C"/>
    <w:rsid w:val="68FD23E4"/>
    <w:rsid w:val="69B42AF7"/>
    <w:rsid w:val="69E41B3B"/>
    <w:rsid w:val="6B4E5B09"/>
    <w:rsid w:val="6BBB0CC6"/>
    <w:rsid w:val="6C4838F4"/>
    <w:rsid w:val="6E582E85"/>
    <w:rsid w:val="6EB1235D"/>
    <w:rsid w:val="6F520277"/>
    <w:rsid w:val="6F9B6713"/>
    <w:rsid w:val="6FCB75A0"/>
    <w:rsid w:val="70BF5C7A"/>
    <w:rsid w:val="70DF1AC2"/>
    <w:rsid w:val="729A42C4"/>
    <w:rsid w:val="731E7004"/>
    <w:rsid w:val="73535858"/>
    <w:rsid w:val="73B97203"/>
    <w:rsid w:val="73BD7DF0"/>
    <w:rsid w:val="743215EF"/>
    <w:rsid w:val="75CD0D5C"/>
    <w:rsid w:val="764E0276"/>
    <w:rsid w:val="7807665E"/>
    <w:rsid w:val="7A016EB6"/>
    <w:rsid w:val="7B7754C9"/>
    <w:rsid w:val="7C26177D"/>
    <w:rsid w:val="7C8E374D"/>
    <w:rsid w:val="7D01208A"/>
    <w:rsid w:val="7DC5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autoRedefine/>
    <w:semiHidden/>
    <w:unhideWhenUsed/>
    <w:uiPriority w:val="99"/>
    <w:tblPr>
      <w:tblCellMar>
        <w:top w:w="0" w:type="dxa"/>
        <w:left w:w="108" w:type="dxa"/>
        <w:bottom w:w="0" w:type="dxa"/>
        <w:right w:w="108" w:type="dxa"/>
      </w:tblCellMar>
    </w:tblPr>
  </w:style>
  <w:style w:type="paragraph" w:styleId="4">
    <w:name w:val="Normal Indent"/>
    <w:basedOn w:val="1"/>
    <w:autoRedefine/>
    <w:qFormat/>
    <w:uiPriority w:val="0"/>
    <w:pPr>
      <w:ind w:firstLine="200" w:firstLineChars="200"/>
    </w:pPr>
  </w:style>
  <w:style w:type="paragraph" w:styleId="5">
    <w:name w:val="annotation text"/>
    <w:basedOn w:val="1"/>
    <w:semiHidden/>
    <w:unhideWhenUsed/>
    <w:qFormat/>
    <w:uiPriority w:val="99"/>
    <w:pPr>
      <w:jc w:val="left"/>
    </w:pPr>
  </w:style>
  <w:style w:type="paragraph" w:styleId="6">
    <w:name w:val="Body Text"/>
    <w:basedOn w:val="1"/>
    <w:next w:val="7"/>
    <w:autoRedefine/>
    <w:qFormat/>
    <w:uiPriority w:val="0"/>
    <w:pPr>
      <w:spacing w:after="120"/>
    </w:pPr>
  </w:style>
  <w:style w:type="paragraph" w:styleId="7">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8">
    <w:name w:val="Plain Text"/>
    <w:basedOn w:val="1"/>
    <w:next w:val="1"/>
    <w:autoRedefine/>
    <w:qFormat/>
    <w:uiPriority w:val="0"/>
    <w:pPr>
      <w:autoSpaceDE w:val="0"/>
      <w:autoSpaceDN w:val="0"/>
      <w:adjustRightInd w:val="0"/>
    </w:pPr>
    <w:rPr>
      <w:rFonts w:ascii="宋体" w:hAnsi="Tms Rmn"/>
      <w:kern w:val="0"/>
      <w:szCs w:val="20"/>
    </w:rPr>
  </w:style>
  <w:style w:type="paragraph" w:styleId="9">
    <w:name w:val="Date"/>
    <w:basedOn w:val="1"/>
    <w:next w:val="1"/>
    <w:semiHidden/>
    <w:unhideWhenUsed/>
    <w:qFormat/>
    <w:uiPriority w:val="99"/>
    <w:pPr>
      <w:ind w:left="100" w:leftChars="2500"/>
    </w:pPr>
  </w:style>
  <w:style w:type="paragraph" w:styleId="10">
    <w:name w:val="Balloon Text"/>
    <w:basedOn w:val="1"/>
    <w:link w:val="30"/>
    <w:autoRedefine/>
    <w:semiHidden/>
    <w:unhideWhenUsed/>
    <w:qFormat/>
    <w:uiPriority w:val="99"/>
    <w:rPr>
      <w:sz w:val="18"/>
      <w:szCs w:val="18"/>
    </w:rPr>
  </w:style>
  <w:style w:type="paragraph" w:styleId="11">
    <w:name w:val="footer"/>
    <w:basedOn w:val="1"/>
    <w:link w:val="25"/>
    <w:autoRedefine/>
    <w:unhideWhenUsed/>
    <w:qFormat/>
    <w:uiPriority w:val="99"/>
    <w:pPr>
      <w:tabs>
        <w:tab w:val="center" w:pos="4153"/>
        <w:tab w:val="right" w:pos="8306"/>
      </w:tabs>
      <w:snapToGrid w:val="0"/>
      <w:jc w:val="left"/>
    </w:pPr>
    <w:rPr>
      <w:sz w:val="18"/>
      <w:szCs w:val="18"/>
    </w:rPr>
  </w:style>
  <w:style w:type="paragraph" w:styleId="12">
    <w:name w:val="header"/>
    <w:basedOn w:val="1"/>
    <w:link w:val="2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table of figures"/>
    <w:basedOn w:val="1"/>
    <w:next w:val="1"/>
    <w:unhideWhenUsed/>
    <w:qFormat/>
    <w:uiPriority w:val="99"/>
    <w:pPr>
      <w:ind w:left="200" w:leftChars="200" w:hanging="200" w:hangingChars="200"/>
    </w:pPr>
  </w:style>
  <w:style w:type="paragraph" w:styleId="15">
    <w:name w:val="Normal (Web)"/>
    <w:basedOn w:val="1"/>
    <w:autoRedefine/>
    <w:semiHidden/>
    <w:unhideWhenUsed/>
    <w:qFormat/>
    <w:uiPriority w:val="99"/>
    <w:pPr>
      <w:spacing w:beforeAutospacing="1" w:afterAutospacing="1"/>
      <w:jc w:val="left"/>
    </w:pPr>
    <w:rPr>
      <w:rFonts w:cs="Times New Roman"/>
      <w:kern w:val="0"/>
      <w:sz w:val="24"/>
    </w:rPr>
  </w:style>
  <w:style w:type="paragraph" w:styleId="16">
    <w:name w:val="Body Text First Indent"/>
    <w:basedOn w:val="6"/>
    <w:autoRedefine/>
    <w:qFormat/>
    <w:uiPriority w:val="99"/>
    <w:pPr>
      <w:ind w:firstLine="420" w:firstLineChars="100"/>
    </w:pPr>
  </w:style>
  <w:style w:type="table" w:styleId="18">
    <w:name w:val="Table Grid"/>
    <w:basedOn w:val="1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autoRedefine/>
    <w:qFormat/>
    <w:uiPriority w:val="0"/>
    <w:rPr>
      <w:b/>
      <w:bCs/>
    </w:rPr>
  </w:style>
  <w:style w:type="character" w:styleId="21">
    <w:name w:val="page number"/>
    <w:autoRedefine/>
    <w:qFormat/>
    <w:uiPriority w:val="0"/>
  </w:style>
  <w:style w:type="character" w:styleId="22">
    <w:name w:val="Hyperlink"/>
    <w:basedOn w:val="19"/>
    <w:autoRedefine/>
    <w:unhideWhenUsed/>
    <w:qFormat/>
    <w:uiPriority w:val="99"/>
    <w:rPr>
      <w:color w:val="0000FF" w:themeColor="hyperlink"/>
      <w:u w:val="single"/>
      <w14:textFill>
        <w14:solidFill>
          <w14:schemeClr w14:val="hlink"/>
        </w14:solidFill>
      </w14:textFill>
    </w:rPr>
  </w:style>
  <w:style w:type="character" w:styleId="23">
    <w:name w:val="annotation reference"/>
    <w:basedOn w:val="19"/>
    <w:semiHidden/>
    <w:unhideWhenUsed/>
    <w:qFormat/>
    <w:uiPriority w:val="99"/>
    <w:rPr>
      <w:sz w:val="21"/>
      <w:szCs w:val="21"/>
    </w:r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autoRedefine/>
    <w:qFormat/>
    <w:uiPriority w:val="99"/>
    <w:rPr>
      <w:sz w:val="18"/>
      <w:szCs w:val="18"/>
    </w:rPr>
  </w:style>
  <w:style w:type="paragraph" w:styleId="26">
    <w:name w:val="List Paragraph"/>
    <w:basedOn w:val="1"/>
    <w:autoRedefine/>
    <w:qFormat/>
    <w:uiPriority w:val="34"/>
    <w:pPr>
      <w:ind w:firstLine="420" w:firstLineChars="200"/>
    </w:pPr>
  </w:style>
  <w:style w:type="character" w:customStyle="1" w:styleId="27">
    <w:name w:val="标题 2 字符"/>
    <w:basedOn w:val="19"/>
    <w:link w:val="3"/>
    <w:autoRedefine/>
    <w:qFormat/>
    <w:uiPriority w:val="9"/>
    <w:rPr>
      <w:rFonts w:ascii="Arial" w:hAnsi="Arial" w:eastAsia="黑体" w:cs="Times New Roman"/>
      <w:b/>
      <w:bCs/>
      <w:sz w:val="32"/>
      <w:szCs w:val="32"/>
    </w:rPr>
  </w:style>
  <w:style w:type="character" w:customStyle="1" w:styleId="28">
    <w:name w:val="列出段落 Char"/>
    <w:link w:val="29"/>
    <w:autoRedefine/>
    <w:qFormat/>
    <w:uiPriority w:val="34"/>
    <w:rPr>
      <w:rFonts w:ascii="宋体" w:hAnsi="宋体" w:cs="宋体"/>
      <w:sz w:val="24"/>
      <w:szCs w:val="24"/>
    </w:rPr>
  </w:style>
  <w:style w:type="paragraph" w:customStyle="1" w:styleId="29">
    <w:name w:val="列出段落1"/>
    <w:basedOn w:val="1"/>
    <w:link w:val="28"/>
    <w:autoRedefine/>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autoRedefine/>
    <w:semiHidden/>
    <w:qFormat/>
    <w:uiPriority w:val="99"/>
    <w:rPr>
      <w:sz w:val="18"/>
      <w:szCs w:val="18"/>
    </w:rPr>
  </w:style>
  <w:style w:type="character" w:customStyle="1" w:styleId="31">
    <w:name w:val="font11"/>
    <w:basedOn w:val="19"/>
    <w:autoRedefine/>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paragraph" w:customStyle="1" w:styleId="33">
    <w:name w:val="标题 5（有编号）（绿盟科技）"/>
    <w:basedOn w:val="1"/>
    <w:next w:val="34"/>
    <w:autoRedefine/>
    <w:qFormat/>
    <w:uiPriority w:val="0"/>
    <w:pPr>
      <w:keepNext/>
      <w:keepLines/>
      <w:numPr>
        <w:ilvl w:val="4"/>
        <w:numId w:val="1"/>
      </w:numPr>
      <w:tabs>
        <w:tab w:val="left" w:pos="0"/>
      </w:tabs>
      <w:spacing w:before="280" w:after="156" w:line="377" w:lineRule="auto"/>
      <w:jc w:val="left"/>
      <w:outlineLvl w:val="4"/>
    </w:pPr>
    <w:rPr>
      <w:rFonts w:ascii="Arial" w:hAnsi="Arial" w:eastAsia="黑体"/>
      <w:b/>
      <w:sz w:val="24"/>
      <w:szCs w:val="28"/>
    </w:rPr>
  </w:style>
  <w:style w:type="paragraph" w:customStyle="1" w:styleId="34">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3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6">
    <w:name w:val="样式 首行缩进:  2 字符"/>
    <w:basedOn w:val="1"/>
    <w:autoRedefine/>
    <w:qFormat/>
    <w:uiPriority w:val="99"/>
    <w:pPr>
      <w:spacing w:line="400" w:lineRule="exact"/>
      <w:ind w:firstLine="200" w:firstLineChars="200"/>
    </w:pPr>
    <w:rPr>
      <w:rFonts w:cs="宋体"/>
      <w:sz w:val="24"/>
    </w:rPr>
  </w:style>
  <w:style w:type="paragraph" w:customStyle="1" w:styleId="37">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1080</Words>
  <Characters>6156</Characters>
  <Lines>51</Lines>
  <Paragraphs>14</Paragraphs>
  <TotalTime>83</TotalTime>
  <ScaleCrop>false</ScaleCrop>
  <LinksUpToDate>false</LinksUpToDate>
  <CharactersWithSpaces>7222</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2024-03-13T04:29:00Z</dcterms:created>
  <dc:creator>HOUQING</dc:creator>
  <cp:lastModifiedBy>cs</cp:lastModifiedBy>
  <cp:lastPrinted>2024-03-13T04:48:00Z</cp:lastPrinted>
  <dcterms:modified xsi:type="dcterms:W3CDTF">2024-03-22T01:00:03Z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B37B774ADC094AD28AC7D38B3A8865E4_13</vt:lpwstr>
  </property>
  <property fmtid="{D5CDD505-2E9C-101B-9397-08002B2CF9AE}" pid="4" name="commondata">
    <vt:lpwstr>eyJoZGlkIjoiNGFhNjBkNjkwYzVkMGJlYjhkODdmZTMyNDY5NTA5YWUifQ==</vt:lpwstr>
  </property>
</Properties>
</file>