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附件1：项目需求</w:t>
      </w:r>
    </w:p>
    <w:p>
      <w:pPr>
        <w:spacing w:line="50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（本章中标注“★”的条款为本项目的实质性条款，投标人不满足的，将按照无效投标处理。）</w:t>
      </w:r>
    </w:p>
    <w:p>
      <w:pPr>
        <w:numPr>
          <w:ilvl w:val="0"/>
          <w:numId w:val="2"/>
        </w:numPr>
        <w:adjustRightInd w:val="0"/>
        <w:snapToGrid w:val="0"/>
        <w:spacing w:line="5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项目概述：</w:t>
      </w:r>
    </w:p>
    <w:p>
      <w:pPr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本项目1个包，采购成都市龙泉驿区妇幼保健院2024年度医疗设备一批，具体内容如下：</w:t>
      </w:r>
    </w:p>
    <w:tbl>
      <w:tblPr>
        <w:tblStyle w:val="18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792"/>
        <w:gridCol w:w="2105"/>
        <w:gridCol w:w="775"/>
        <w:gridCol w:w="775"/>
        <w:gridCol w:w="197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42" w:type="dxa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792" w:type="dxa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105" w:type="dxa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标的名称</w:t>
            </w:r>
          </w:p>
        </w:tc>
        <w:tc>
          <w:tcPr>
            <w:tcW w:w="775" w:type="dxa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775" w:type="dxa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1975" w:type="dxa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最高单价限价（元）</w:t>
            </w:r>
          </w:p>
        </w:tc>
        <w:tc>
          <w:tcPr>
            <w:tcW w:w="2046" w:type="dxa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最高总价限价（元）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dxa"/>
            <w:vMerge w:val="restart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01</w:t>
            </w:r>
          </w:p>
        </w:tc>
        <w:tc>
          <w:tcPr>
            <w:tcW w:w="792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微波治疗仪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500" w:lineRule="exact"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20000.00</w:t>
            </w:r>
          </w:p>
        </w:tc>
        <w:tc>
          <w:tcPr>
            <w:tcW w:w="2046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53200.00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2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低频脉冲治疗仪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500" w:lineRule="exact"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10000.00</w:t>
            </w:r>
          </w:p>
        </w:tc>
        <w:tc>
          <w:tcPr>
            <w:tcW w:w="2046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042" w:type="dxa"/>
            <w:vMerge w:val="continue"/>
            <w:vAlign w:val="center"/>
          </w:tcPr>
          <w:p>
            <w:pPr>
              <w:pStyle w:val="4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92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电子针疗仪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spacing w:line="500" w:lineRule="exact"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9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800.00</w:t>
            </w:r>
          </w:p>
        </w:tc>
        <w:tc>
          <w:tcPr>
            <w:tcW w:w="2046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numPr>
          <w:ilvl w:val="255"/>
          <w:numId w:val="0"/>
        </w:numPr>
        <w:spacing w:line="500" w:lineRule="exact"/>
        <w:ind w:firstLine="420" w:firstLineChars="20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商务要求：</w:t>
      </w:r>
    </w:p>
    <w:p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1．交货期及地点</w:t>
      </w:r>
    </w:p>
    <w:p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1.1 交货期：合同签订生效后15日内。 </w:t>
      </w:r>
    </w:p>
    <w:p>
      <w:pPr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1.2 交货地点: 成都市龙泉驿区妇幼保健院</w:t>
      </w:r>
    </w:p>
    <w:p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2．付款方法和条件：</w:t>
      </w:r>
    </w:p>
    <w:p>
      <w:pPr>
        <w:pStyle w:val="36"/>
        <w:snapToGrid w:val="0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Cs/>
        </w:rPr>
        <w:t xml:space="preserve">2.1 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合同签订后，货物到指定地点，甲方接到乙方通知与票据凭证资料以后的15日内，按照财政性资金支付有关规定，向乙方核拨预付款，合同总金额的50%款项；</w:t>
      </w:r>
    </w:p>
    <w:p>
      <w:pPr>
        <w:pStyle w:val="36"/>
        <w:snapToGrid w:val="0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</w:rPr>
        <w:t>2.2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货物安装调试完毕并经科室确认后，甲方接到乙方通知与票据凭证资料以后的15日内，向乙方核拨合同总金额的40%款项；</w:t>
      </w:r>
    </w:p>
    <w:p>
      <w:pPr>
        <w:pStyle w:val="36"/>
        <w:snapToGrid w:val="0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</w:rPr>
        <w:t>2.3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货物正常使用六个月后，乙方提交验收报告，经科室确认后，甲方接到乙方通知与票据凭证资料以后的15日内，向乙方核拨合同总金额的10%款项；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2.</w:t>
      </w:r>
      <w:r>
        <w:rPr>
          <w:rFonts w:hint="eastAsia" w:ascii="宋体" w:hAnsi="宋体" w:eastAsia="宋体" w:cs="宋体"/>
          <w:bCs/>
          <w:sz w:val="24"/>
        </w:rPr>
        <w:t>4 付款条件：每次款项的支付前提均为采购人在收到中标人出具的正规发票30日内予以办理款项的支付。</w:t>
      </w:r>
    </w:p>
    <w:p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3.质保期：不低于贰年，质保期从验收合格之日起计算。</w:t>
      </w:r>
    </w:p>
    <w:p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4.安装调试及验收：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4.1 供应商负责设备安装、调试。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4.2 货物到达采购人现场后，供应商接到采购人通知后7日内到达现场组织安装、调试，达到正常运行要求，保证采购人正常使用。所需的费用包括在投标总价格中。</w:t>
      </w:r>
    </w:p>
    <w:p>
      <w:pPr>
        <w:spacing w:line="500" w:lineRule="exact"/>
        <w:ind w:firstLine="240" w:firstLineChars="100"/>
        <w:jc w:val="lef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4.3 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>
      <w:p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5.履约验收要求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5.1 验收方法：验收时双方皆应派员参加，验收合格并安装完毕后需双方签署验收单；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5.2 验收标准：符合国家相关规定的合格产品；保证所供的货物皆为原厂原装、全新、未使用过，并按照相关技术要求进行安装、调试，并完全满足采购人采购提出的工作需要。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5.3 验收时须提供的产品资料：（1）合同复印件1份；（2）中标人资质、产品制造厂家资质及产品资质、投标产品制造厂家的授权文件纸质电子版各1套；（3）合格证、保修卡、使用手册等。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5.4 验收时间要求：中标人按照合同要求完成全部货物运输、安装、调试等全部工作后，采购人在收到书面的验收申请材料后30日内组织履约验收工作。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5.5 其他要求：验收不合格时，采购人和中标人应协商一致，中标人应根据相关验收证明材料及时补足或更换设备，费用由中标人自行承担。</w:t>
      </w:r>
    </w:p>
    <w:p>
      <w:pPr>
        <w:numPr>
          <w:ilvl w:val="255"/>
          <w:numId w:val="0"/>
        </w:numPr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6.售后服务及培训要求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6.1 设备发生故障时，中标人接到通知后30分钟内提供电话等服务响应，48小时内到达现场维修。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6.2 设备保修期内开机率不低于95%。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6.3 零配件供应：中标人应保证设备安装验收后备件供应不少于6年，备有所有必需的备件，保证需要时48小时内将配件送达采购人。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6.4 投标产品制造厂家在国内应有24小时电话维修系统，在供货时须提供工程师名单、联系电话、通讯地址及备件的目录，保证8小时响应采购人的服务要求。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6.5 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>
      <w:pPr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6.6 中标人应就设备的安装、调试、操作、维修、保养等对采购人技术人员进行培训，培训人员须为设备制造厂家的专业售后人员.</w:t>
      </w:r>
    </w:p>
    <w:p>
      <w:pPr>
        <w:numPr>
          <w:ilvl w:val="255"/>
          <w:numId w:val="0"/>
        </w:numPr>
        <w:adjustRightInd w:val="0"/>
        <w:snapToGrid w:val="0"/>
        <w:spacing w:line="500" w:lineRule="exact"/>
        <w:jc w:val="left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三、项目服务内容及要求：</w:t>
      </w:r>
    </w:p>
    <w:p>
      <w:pPr>
        <w:numPr>
          <w:ilvl w:val="255"/>
          <w:numId w:val="0"/>
        </w:numPr>
        <w:adjustRightInd w:val="0"/>
        <w:snapToGrid w:val="0"/>
        <w:spacing w:line="440" w:lineRule="exact"/>
        <w:jc w:val="left"/>
        <w:rPr>
          <w:rFonts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（一）采购包01：</w:t>
      </w:r>
    </w:p>
    <w:p>
      <w:pPr>
        <w:spacing w:line="440" w:lineRule="exact"/>
        <w:jc w:val="left"/>
        <w:rPr>
          <w:rFonts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1.微波治疗仪：</w:t>
      </w:r>
    </w:p>
    <w:p>
      <w:pPr>
        <w:spacing w:line="440" w:lineRule="exact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</w:rPr>
        <w:t>1.1 微波频率：2450MHz；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1.2 微波功率：</w:t>
      </w:r>
      <w:r>
        <w:rPr>
          <w:rFonts w:hint="eastAsia" w:ascii="宋体" w:hAnsi="宋体"/>
          <w:spacing w:val="-14"/>
          <w:sz w:val="24"/>
        </w:rPr>
        <w:t>治疗：</w:t>
      </w:r>
      <w:r>
        <w:rPr>
          <w:rFonts w:hint="eastAsia" w:ascii="宋体" w:hAnsi="宋体"/>
          <w:sz w:val="24"/>
        </w:rPr>
        <w:t>0～99W</w:t>
      </w:r>
      <w:r>
        <w:rPr>
          <w:rFonts w:hint="eastAsia" w:ascii="宋体" w:hAnsi="宋体"/>
          <w:spacing w:val="-14"/>
          <w:sz w:val="24"/>
        </w:rPr>
        <w:t>，理疗：</w:t>
      </w:r>
      <w:r>
        <w:rPr>
          <w:rFonts w:hint="eastAsia" w:ascii="宋体" w:hAnsi="宋体"/>
          <w:sz w:val="24"/>
        </w:rPr>
        <w:t>0～99W</w:t>
      </w:r>
      <w:r>
        <w:rPr>
          <w:rFonts w:hint="eastAsia" w:ascii="宋体" w:hAnsi="宋体"/>
          <w:spacing w:val="-14"/>
          <w:sz w:val="24"/>
        </w:rPr>
        <w:t>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1.3 治疗时间：</w:t>
      </w:r>
      <w:r>
        <w:rPr>
          <w:rFonts w:hint="eastAsia" w:ascii="宋体" w:hAnsi="宋体"/>
          <w:spacing w:val="-14"/>
          <w:sz w:val="24"/>
        </w:rPr>
        <w:t>治疗：0</w:t>
      </w:r>
      <w:r>
        <w:rPr>
          <w:rFonts w:hint="eastAsia" w:ascii="宋体" w:hAnsi="宋体"/>
          <w:sz w:val="24"/>
        </w:rPr>
        <w:t>～</w:t>
      </w:r>
      <w:r>
        <w:rPr>
          <w:rFonts w:hint="eastAsia" w:ascii="宋体" w:hAnsi="宋体"/>
          <w:spacing w:val="-14"/>
          <w:sz w:val="24"/>
        </w:rPr>
        <w:t>99秒，理疗：0</w:t>
      </w:r>
      <w:r>
        <w:rPr>
          <w:rFonts w:hint="eastAsia" w:ascii="宋体" w:hAnsi="宋体"/>
          <w:sz w:val="24"/>
        </w:rPr>
        <w:t>～</w:t>
      </w:r>
      <w:r>
        <w:rPr>
          <w:rFonts w:hint="eastAsia" w:ascii="宋体" w:hAnsi="宋体"/>
          <w:spacing w:val="-14"/>
          <w:sz w:val="24"/>
        </w:rPr>
        <w:t>30分；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1.4 控制方式：自控和脚踏控制两种控制方式，可手动或自动复位；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1.5 显示方式：数码显示；</w:t>
      </w:r>
    </w:p>
    <w:p>
      <w:pPr>
        <w:spacing w:line="440" w:lineRule="exact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1.6 工作方式：</w:t>
      </w:r>
      <w:r>
        <w:rPr>
          <w:rFonts w:hint="eastAsia" w:ascii="宋体" w:hAnsi="宋体"/>
          <w:color w:val="000000"/>
          <w:sz w:val="24"/>
        </w:rPr>
        <w:t>连续波方式；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1.7 配置2个腔内辐射器：用于耳鼻喉腔内治疗，辐射器驻波系数≤2；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1.8 安全性：</w:t>
      </w:r>
      <w:r>
        <w:rPr>
          <w:rFonts w:hint="eastAsia" w:ascii="宋体" w:hAnsi="宋体" w:eastAsia="宋体" w:cs="Times New Roman"/>
          <w:sz w:val="24"/>
        </w:rPr>
        <w:t>无用辐射</w:t>
      </w:r>
      <w:r>
        <w:rPr>
          <w:rFonts w:hint="eastAsia" w:ascii="宋体" w:hAnsi="宋体"/>
          <w:sz w:val="24"/>
        </w:rPr>
        <w:t>＜</w:t>
      </w:r>
      <w:r>
        <w:rPr>
          <w:rFonts w:hint="eastAsia" w:ascii="宋体" w:hAnsi="宋体" w:eastAsia="宋体" w:cs="Times New Roman"/>
          <w:sz w:val="24"/>
        </w:rPr>
        <w:t>10mW/cm²</w:t>
      </w:r>
      <w:r>
        <w:rPr>
          <w:rFonts w:hint="eastAsia" w:ascii="宋体" w:hAnsi="宋体"/>
          <w:sz w:val="24"/>
        </w:rPr>
        <w:t>。外壳辐射＜1mW/cm²。自动保护装置：具有过载、过热、闭锁、误操作保护功能；</w:t>
      </w:r>
    </w:p>
    <w:p>
      <w:pPr>
        <w:spacing w:line="440" w:lineRule="exact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1.9 ▲具有功率调整自适应功能，输出功率稳定；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1.10 </w:t>
      </w:r>
      <w:r>
        <w:rPr>
          <w:rFonts w:hint="eastAsia" w:ascii="宋体" w:hAnsi="宋体"/>
          <w:bCs/>
          <w:sz w:val="24"/>
        </w:rPr>
        <w:t>▲</w:t>
      </w:r>
      <w:r>
        <w:rPr>
          <w:rFonts w:hint="eastAsia" w:ascii="宋体" w:hAnsi="宋体"/>
          <w:sz w:val="24"/>
        </w:rPr>
        <w:t>具有功率异常实时自检功能和故障代码显示；并采用加强保护，设备一旦出现异常，设备主机面板上可显示故障状态；（提供软件测试报告）</w:t>
      </w:r>
    </w:p>
    <w:p>
      <w:pPr>
        <w:spacing w:line="440" w:lineRule="exact"/>
        <w:jc w:val="left"/>
        <w:rPr>
          <w:rFonts w:ascii="宋体" w:hAnsi="宋体"/>
          <w:bCs/>
          <w:sz w:val="24"/>
        </w:rPr>
      </w:pPr>
      <w:r>
        <w:rPr>
          <w:rStyle w:val="20"/>
          <w:rFonts w:hint="eastAsia" w:ascii="宋体" w:hAnsi="宋体"/>
          <w:b w:val="0"/>
          <w:sz w:val="24"/>
        </w:rPr>
        <w:t xml:space="preserve">1.11 </w:t>
      </w:r>
      <w:r>
        <w:rPr>
          <w:rFonts w:hint="eastAsia" w:ascii="宋体" w:hAnsi="宋体"/>
          <w:bCs/>
          <w:sz w:val="24"/>
        </w:rPr>
        <w:t>主机采用一体化推车机柜；</w:t>
      </w:r>
    </w:p>
    <w:p>
      <w:pPr>
        <w:spacing w:line="440" w:lineRule="exact"/>
        <w:ind w:left="588" w:hanging="588" w:hangingChars="245"/>
        <w:jc w:val="left"/>
        <w:rPr>
          <w:rFonts w:ascii="宋体" w:hAnsi="宋体"/>
          <w:bCs/>
          <w:sz w:val="24"/>
        </w:rPr>
      </w:pPr>
      <w:r>
        <w:rPr>
          <w:rStyle w:val="20"/>
          <w:rFonts w:hint="eastAsia" w:ascii="宋体" w:hAnsi="宋体"/>
          <w:b w:val="0"/>
          <w:sz w:val="24"/>
        </w:rPr>
        <w:t xml:space="preserve">1.12 </w:t>
      </w:r>
      <w:r>
        <w:rPr>
          <w:rFonts w:hint="eastAsia" w:ascii="宋体" w:hAnsi="宋体"/>
          <w:bCs/>
          <w:sz w:val="24"/>
        </w:rPr>
        <w:t>▲</w:t>
      </w:r>
      <w:r>
        <w:rPr>
          <w:rStyle w:val="20"/>
          <w:rFonts w:hint="eastAsia" w:ascii="宋体" w:hAnsi="宋体"/>
          <w:b w:val="0"/>
          <w:sz w:val="24"/>
        </w:rPr>
        <w:t>适用范围：主要</w:t>
      </w:r>
      <w:r>
        <w:rPr>
          <w:rFonts w:hint="eastAsia" w:ascii="宋体" w:hAnsi="宋体"/>
          <w:bCs/>
          <w:sz w:val="24"/>
        </w:rPr>
        <w:t>适用于耳鼻咽喉部位炎症的治疗。</w:t>
      </w:r>
    </w:p>
    <w:p>
      <w:pPr>
        <w:spacing w:line="440" w:lineRule="exact"/>
        <w:jc w:val="left"/>
        <w:rPr>
          <w:rFonts w:ascii="宋体" w:hAnsi="宋体"/>
          <w:b/>
          <w:bCs w:val="0"/>
          <w:sz w:val="24"/>
          <w:lang w:bidi="ar"/>
        </w:rPr>
      </w:pPr>
      <w:r>
        <w:rPr>
          <w:rFonts w:hint="eastAsia" w:ascii="宋体" w:hAnsi="宋体"/>
          <w:b/>
          <w:bCs w:val="0"/>
          <w:sz w:val="24"/>
        </w:rPr>
        <w:t>2.</w:t>
      </w:r>
      <w:r>
        <w:rPr>
          <w:rFonts w:hint="eastAsia" w:ascii="宋体" w:hAnsi="宋体"/>
          <w:b/>
          <w:bCs w:val="0"/>
          <w:sz w:val="24"/>
          <w:lang w:bidi="ar"/>
        </w:rPr>
        <w:t>低频脉冲治疗仪：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bidi="ar"/>
        </w:rPr>
        <w:t xml:space="preserve">2.1 </w:t>
      </w:r>
      <w:r>
        <w:rPr>
          <w:rFonts w:hint="eastAsia" w:ascii="宋体" w:hAnsi="宋体"/>
          <w:sz w:val="24"/>
        </w:rPr>
        <w:t>主要功能：乳汁分泌少、乳腺管不通、乳腺小叶增生、术后镇痛；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2.2 显示界面：≥8寸显示屏；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2.3 操作方式：薄膜按键操作；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2.4 外观要求：便携式；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2.5 语音功能：使用过程中有相应语音操作提示，避免医护人员操作失误；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2.6 输出通道：双通道或四通道独立输出，可以同时多人或单人多部位治疗；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2.7 时间设置：0～99min 连续可调，步进时间为1 min，最大误差±1 min。屏幕显示面板倒计时显示治疗时间，治疗结束时，蜂鸣器报警，其结束治疗功能模块后无能量输出；</w:t>
      </w:r>
    </w:p>
    <w:p>
      <w:pPr>
        <w:spacing w:line="4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2.8 </w:t>
      </w:r>
      <w:r>
        <w:rPr>
          <w:rFonts w:hint="eastAsia" w:ascii="宋体" w:hAnsi="宋体" w:cs="宋体"/>
          <w:color w:val="231916"/>
          <w:sz w:val="28"/>
          <w:szCs w:val="28"/>
        </w:rPr>
        <w:t>★</w:t>
      </w:r>
      <w:r>
        <w:rPr>
          <w:rFonts w:hint="eastAsia" w:ascii="宋体" w:hAnsi="宋体"/>
          <w:sz w:val="24"/>
        </w:rPr>
        <w:t>配置要求：配置台车1个、电极线、电极片（乳房用）。</w:t>
      </w:r>
    </w:p>
    <w:p>
      <w:pPr>
        <w:spacing w:line="440" w:lineRule="exact"/>
        <w:jc w:val="left"/>
        <w:rPr>
          <w:rFonts w:hint="eastAsia" w:ascii="宋体" w:hAnsi="宋体" w:eastAsiaTheme="minorEastAsia"/>
          <w:sz w:val="24"/>
          <w:lang w:eastAsia="zh-CN"/>
        </w:rPr>
      </w:pPr>
      <w:r>
        <w:rPr>
          <w:rFonts w:hint="eastAsia" w:ascii="宋体" w:hAnsi="宋体"/>
          <w:b/>
          <w:bCs/>
          <w:sz w:val="24"/>
        </w:rPr>
        <w:t>3.电子针疗仪</w:t>
      </w:r>
      <w:r>
        <w:rPr>
          <w:rFonts w:hint="eastAsia" w:ascii="宋体" w:hAnsi="宋体"/>
          <w:b/>
          <w:bCs/>
          <w:sz w:val="24"/>
          <w:lang w:eastAsia="zh-CN"/>
        </w:rPr>
        <w:t>：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3.1 输出功率：10.0VA；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3.2 输出电流限值：≤10mA；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3.3 输出脉冲波形：非对称双向脉冲波；</w:t>
      </w:r>
    </w:p>
    <w:p>
      <w:pPr>
        <w:numPr>
          <w:ilvl w:val="255"/>
          <w:numId w:val="0"/>
        </w:num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3.4 输出脉冲路数：六路输出；</w:t>
      </w:r>
    </w:p>
    <w:p>
      <w:pPr>
        <w:numPr>
          <w:ilvl w:val="255"/>
          <w:numId w:val="0"/>
        </w:num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3.5 输出脉冲宽度：0.2ms±30％；</w:t>
      </w:r>
    </w:p>
    <w:p>
      <w:pPr>
        <w:numPr>
          <w:ilvl w:val="255"/>
          <w:numId w:val="0"/>
        </w:num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3.6 输出脉冲频率：1-100Hz可调，允差为±15％；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3.7工作模式：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连续波工作模式：连续；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断续波工作模式：工作15s，停5s；</w:t>
      </w:r>
    </w:p>
    <w:p>
      <w:pPr>
        <w:spacing w:line="440" w:lineRule="exact"/>
        <w:jc w:val="left"/>
        <w:rPr>
          <w:rFonts w:ascii="宋体" w:hAnsi="宋体"/>
          <w:sz w:val="24"/>
          <w:lang w:bidi="ar"/>
        </w:rPr>
      </w:pPr>
      <w:r>
        <w:rPr>
          <w:rFonts w:hint="eastAsia" w:ascii="宋体" w:hAnsi="宋体"/>
          <w:sz w:val="24"/>
          <w:lang w:bidi="ar"/>
        </w:rPr>
        <w:t>疏密波工作模式：疏波频率与密波频率之比1:5；疏波5s，密波10s。</w:t>
      </w: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347B1"/>
    <w:multiLevelType w:val="singleLevel"/>
    <w:tmpl w:val="AD3347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3EC4228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C36661F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1080</Words>
  <Characters>6156</Characters>
  <Lines>51</Lines>
  <Paragraphs>14</Paragraphs>
  <TotalTime>85</TotalTime>
  <ScaleCrop>false</ScaleCrop>
  <LinksUpToDate>false</LinksUpToDate>
  <CharactersWithSpaces>7222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2024-03-13T04:48:00Z</cp:lastPrinted>
  <dcterms:modified xsi:type="dcterms:W3CDTF">2024-04-29T00:33:13Z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