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中宋" w:hAnsi="华文中宋" w:eastAsia="华文中宋"/>
          <w:b/>
          <w:sz w:val="32"/>
        </w:rPr>
      </w:pPr>
      <w:bookmarkStart w:id="2" w:name="_GoBack"/>
      <w:bookmarkEnd w:id="2"/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附件三：综合评分明细表</w:t>
      </w:r>
    </w:p>
    <w:p>
      <w:pPr>
        <w:pStyle w:val="37"/>
        <w:rPr>
          <w:rFonts w:hint="default" w:ascii="仿宋" w:hAnsi="仿宋" w:eastAsia="仿宋"/>
          <w:b/>
          <w:bCs/>
          <w:kern w:val="2"/>
          <w:sz w:val="28"/>
          <w:szCs w:val="28"/>
          <w:lang w:eastAsia="zh-CN"/>
        </w:rPr>
      </w:pPr>
      <w:r>
        <w:rPr>
          <w:rFonts w:ascii="仿宋" w:hAnsi="仿宋" w:eastAsia="仿宋"/>
          <w:b/>
          <w:bCs/>
          <w:kern w:val="2"/>
          <w:sz w:val="28"/>
          <w:szCs w:val="28"/>
          <w:lang w:eastAsia="zh-CN"/>
        </w:rPr>
        <w:t>采购包01：</w:t>
      </w:r>
    </w:p>
    <w:tbl>
      <w:tblPr>
        <w:tblStyle w:val="17"/>
        <w:tblpPr w:leftFromText="180" w:rightFromText="180" w:vertAnchor="text" w:tblpX="-195" w:tblpY="1"/>
        <w:tblOverlap w:val="never"/>
        <w:tblW w:w="108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5"/>
        <w:gridCol w:w="795"/>
        <w:gridCol w:w="6135"/>
        <w:gridCol w:w="81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613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  <w:tc>
          <w:tcPr>
            <w:tcW w:w="120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%（30分）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613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%*100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20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技术、服务要求50%   （50分）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50分</w:t>
            </w:r>
          </w:p>
        </w:tc>
        <w:tc>
          <w:tcPr>
            <w:tcW w:w="6135" w:type="dxa"/>
            <w:vAlign w:val="center"/>
          </w:tcPr>
          <w:p>
            <w:pPr>
              <w:numPr>
                <w:ilvl w:val="255"/>
                <w:numId w:val="0"/>
              </w:num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投标人针对技术参数条款的响应得分规则如下：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1.一般技术参数条款响应得分=（投标人满足一般技术参数条款的数量÷对应包件中一般技术参数条款的总数量）×38分。一般技术参数条款：23条。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2.投标人针对“”技术参数条款的响应得分规则如下：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”技术参数条款响应得分=（投标人满足“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”技术参数条款的数量÷对应包件中“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”技术参数条款的总数量）×12分。“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”技术参数条款：3条。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20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售后服务20</w:t>
            </w:r>
            <w:r>
              <w:rPr>
                <w:rFonts w:ascii="仿宋" w:hAnsi="仿宋" w:eastAsia="仿宋"/>
                <w:szCs w:val="21"/>
              </w:rPr>
              <w:t>%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（20分）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20分</w:t>
            </w:r>
          </w:p>
        </w:tc>
        <w:tc>
          <w:tcPr>
            <w:tcW w:w="6135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投标人针对本项目提供的售后服务方案，包括但不限于①售后服务流程、②售后应急预案、③质量保障方案、④培训方案，⑤维修保养计划，每具有一项前述细化指标内容得4分，不提供不得分，最多得20分；每有一处内容存在缺陷，扣2分，扣完为止。 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  <w:tc>
          <w:tcPr>
            <w:tcW w:w="1200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共同评分因素</w:t>
            </w:r>
          </w:p>
        </w:tc>
      </w:tr>
    </w:tbl>
    <w:p>
      <w:pPr>
        <w:pStyle w:val="6"/>
      </w:pPr>
    </w:p>
    <w:p/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D7F4E0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2FE55F1B"/>
    <w:rsid w:val="30191AD6"/>
    <w:rsid w:val="30FB7E9E"/>
    <w:rsid w:val="323325C4"/>
    <w:rsid w:val="324E061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C36661F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autoRedefine/>
    <w:qFormat/>
    <w:uiPriority w:val="0"/>
    <w:pPr>
      <w:spacing w:after="12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2"/>
    <w:autoRedefine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1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10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1080</Words>
  <Characters>6156</Characters>
  <Lines>51</Lines>
  <Paragraphs>14</Paragraphs>
  <TotalTime>85</TotalTime>
  <ScaleCrop>false</ScaleCrop>
  <LinksUpToDate>false</LinksUpToDate>
  <CharactersWithSpaces>7222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2024-03-13T04:48:00Z</cp:lastPrinted>
  <dcterms:modified xsi:type="dcterms:W3CDTF">2024-04-29T00:33:57Z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