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华文中宋" w:hAnsi="华文中宋" w:eastAsia="华文中宋"/>
          <w:b/>
          <w:color w:val="000000" w:themeColor="text1"/>
          <w:sz w:val="32"/>
          <w:lang w:val="en-US" w:eastAsia="zh-CN"/>
          <w14:textFill>
            <w14:solidFill>
              <w14:schemeClr w14:val="tx1"/>
            </w14:solidFill>
          </w14:textFill>
        </w:rPr>
      </w:pPr>
      <w:bookmarkStart w:id="0" w:name="_GoBack"/>
      <w:r>
        <w:rPr>
          <w:rFonts w:hint="eastAsia" w:ascii="华文中宋" w:hAnsi="华文中宋" w:eastAsia="华文中宋"/>
          <w:b/>
          <w:color w:val="000000" w:themeColor="text1"/>
          <w:sz w:val="32"/>
          <w:lang w:val="en-US" w:eastAsia="zh-CN"/>
          <w14:textFill>
            <w14:solidFill>
              <w14:schemeClr w14:val="tx1"/>
            </w14:solidFill>
          </w14:textFill>
        </w:rPr>
        <w:t>附件三：综合评分明细表</w:t>
      </w:r>
    </w:p>
    <w:bookmarkEnd w:id="0"/>
    <w:p>
      <w:pPr>
        <w:keepNext w:val="0"/>
        <w:keepLines w:val="0"/>
        <w:pageBreakBefore w:val="0"/>
        <w:widowControl w:val="0"/>
        <w:kinsoku/>
        <w:wordWrap/>
        <w:overflowPunct/>
        <w:topLinePunct w:val="0"/>
        <w:autoSpaceDE/>
        <w:autoSpaceDN/>
        <w:bidi w:val="0"/>
        <w:adjustRightInd/>
        <w:snapToGrid w:val="0"/>
        <w:spacing w:line="20" w:lineRule="exact"/>
        <w:jc w:val="left"/>
        <w:textAlignment w:val="auto"/>
        <w:rPr>
          <w:rFonts w:hint="eastAsia" w:ascii="华文中宋" w:hAnsi="华文中宋" w:eastAsia="华文中宋"/>
          <w:b/>
          <w:color w:val="000000" w:themeColor="text1"/>
          <w:sz w:val="32"/>
          <w:lang w:val="en-US" w:eastAsia="zh-CN"/>
          <w14:textFill>
            <w14:solidFill>
              <w14:schemeClr w14:val="tx1"/>
            </w14:solidFill>
          </w14:textFill>
        </w:rPr>
      </w:pPr>
    </w:p>
    <w:tbl>
      <w:tblPr>
        <w:tblStyle w:val="2"/>
        <w:tblpPr w:leftFromText="180" w:rightFromText="180" w:vertAnchor="text" w:horzAnchor="page" w:tblpXSpec="center" w:tblpY="204"/>
        <w:tblOverlap w:val="never"/>
        <w:tblW w:w="5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138"/>
        <w:gridCol w:w="487"/>
        <w:gridCol w:w="7425"/>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8" w:hRule="atLeast"/>
          <w:jc w:val="center"/>
        </w:trPr>
        <w:tc>
          <w:tcPr>
            <w:tcW w:w="217" w:type="pct"/>
            <w:noWrap w:val="0"/>
            <w:vAlign w:val="center"/>
          </w:tcPr>
          <w:p>
            <w:pPr>
              <w:jc w:val="both"/>
              <w:rPr>
                <w:rFonts w:hint="default" w:ascii="Times New Roman" w:hAnsi="Times New Roman" w:eastAsia="宋体" w:cs="Times New Roman"/>
                <w:b/>
                <w:bCs/>
                <w:color w:val="auto"/>
                <w:kern w:val="0"/>
                <w:szCs w:val="21"/>
                <w:lang w:eastAsia="zh-CN"/>
              </w:rPr>
            </w:pPr>
            <w:r>
              <w:rPr>
                <w:rFonts w:hint="default" w:ascii="Times New Roman" w:hAnsi="Times New Roman" w:eastAsia="仿宋" w:cs="Times New Roman"/>
                <w:b/>
                <w:bCs/>
                <w:snapToGrid/>
                <w:color w:val="000000"/>
                <w:sz w:val="22"/>
                <w:szCs w:val="22"/>
                <w:highlight w:val="none"/>
                <w:lang w:val="en-US" w:eastAsia="zh-CN"/>
              </w:rPr>
              <w:t>序号</w:t>
            </w:r>
          </w:p>
        </w:tc>
        <w:tc>
          <w:tcPr>
            <w:tcW w:w="557" w:type="pct"/>
            <w:tcBorders>
              <w:left w:val="nil"/>
            </w:tcBorders>
            <w:noWrap w:val="0"/>
            <w:vAlign w:val="center"/>
          </w:tcPr>
          <w:p>
            <w:pPr>
              <w:jc w:val="center"/>
              <w:rPr>
                <w:rFonts w:hint="default" w:ascii="Times New Roman" w:hAnsi="Times New Roman" w:eastAsia="仿宋" w:cs="Times New Roman"/>
                <w:b/>
                <w:bCs/>
                <w:color w:val="auto"/>
                <w:kern w:val="0"/>
                <w:sz w:val="22"/>
                <w:szCs w:val="22"/>
                <w:lang w:val="en-US" w:eastAsia="zh-CN"/>
              </w:rPr>
            </w:pPr>
            <w:r>
              <w:rPr>
                <w:rFonts w:hint="default" w:ascii="Times New Roman" w:hAnsi="Times New Roman" w:eastAsia="仿宋" w:cs="Times New Roman"/>
                <w:b/>
                <w:bCs/>
                <w:color w:val="auto"/>
                <w:kern w:val="0"/>
                <w:sz w:val="22"/>
                <w:szCs w:val="22"/>
              </w:rPr>
              <w:t>评分因素</w:t>
            </w:r>
            <w:r>
              <w:rPr>
                <w:rFonts w:hint="default" w:ascii="Times New Roman" w:hAnsi="Times New Roman" w:eastAsia="仿宋" w:cs="Times New Roman"/>
                <w:b/>
                <w:bCs/>
                <w:color w:val="auto"/>
                <w:kern w:val="0"/>
                <w:sz w:val="22"/>
                <w:szCs w:val="22"/>
                <w:lang w:val="en-US" w:eastAsia="zh-CN"/>
              </w:rPr>
              <w:t>及权重</w:t>
            </w:r>
          </w:p>
        </w:tc>
        <w:tc>
          <w:tcPr>
            <w:tcW w:w="238" w:type="pct"/>
            <w:tcBorders>
              <w:left w:val="nil"/>
            </w:tcBorders>
            <w:noWrap w:val="0"/>
            <w:vAlign w:val="center"/>
          </w:tcPr>
          <w:p>
            <w:pPr>
              <w:jc w:val="center"/>
              <w:rPr>
                <w:rFonts w:hint="default" w:ascii="Times New Roman" w:hAnsi="Times New Roman" w:eastAsia="仿宋" w:cs="Times New Roman"/>
                <w:b/>
                <w:bCs/>
                <w:color w:val="auto"/>
                <w:kern w:val="0"/>
                <w:sz w:val="22"/>
                <w:szCs w:val="22"/>
              </w:rPr>
            </w:pPr>
            <w:r>
              <w:rPr>
                <w:rFonts w:hint="default" w:ascii="Times New Roman" w:hAnsi="Times New Roman" w:eastAsia="仿宋" w:cs="Times New Roman"/>
                <w:b/>
                <w:bCs/>
                <w:color w:val="auto"/>
                <w:kern w:val="0"/>
                <w:sz w:val="22"/>
                <w:szCs w:val="22"/>
              </w:rPr>
              <w:t>分值</w:t>
            </w:r>
          </w:p>
        </w:tc>
        <w:tc>
          <w:tcPr>
            <w:tcW w:w="3638" w:type="pct"/>
            <w:tcBorders>
              <w:left w:val="nil"/>
            </w:tcBorders>
            <w:noWrap w:val="0"/>
            <w:vAlign w:val="center"/>
          </w:tcPr>
          <w:p>
            <w:pPr>
              <w:jc w:val="center"/>
              <w:rPr>
                <w:rFonts w:hint="default" w:ascii="Times New Roman" w:hAnsi="Times New Roman" w:eastAsia="仿宋" w:cs="Times New Roman"/>
                <w:b/>
                <w:bCs/>
                <w:color w:val="auto"/>
                <w:kern w:val="0"/>
                <w:sz w:val="22"/>
                <w:szCs w:val="22"/>
              </w:rPr>
            </w:pPr>
            <w:r>
              <w:rPr>
                <w:rFonts w:hint="default" w:ascii="Times New Roman" w:hAnsi="Times New Roman" w:eastAsia="仿宋" w:cs="Times New Roman"/>
                <w:b/>
                <w:bCs/>
                <w:color w:val="auto"/>
                <w:kern w:val="0"/>
                <w:sz w:val="22"/>
                <w:szCs w:val="22"/>
              </w:rPr>
              <w:t>评分标准</w:t>
            </w:r>
          </w:p>
        </w:tc>
        <w:tc>
          <w:tcPr>
            <w:tcW w:w="347" w:type="pct"/>
            <w:tcBorders>
              <w:left w:val="nil"/>
            </w:tcBorders>
            <w:noWrap w:val="0"/>
            <w:vAlign w:val="center"/>
          </w:tcPr>
          <w:p>
            <w:pPr>
              <w:jc w:val="center"/>
              <w:rPr>
                <w:rFonts w:hint="default" w:ascii="Times New Roman" w:hAnsi="Times New Roman" w:eastAsia="仿宋" w:cs="Times New Roman"/>
                <w:b/>
                <w:bCs/>
                <w:color w:val="auto"/>
                <w:kern w:val="0"/>
                <w:sz w:val="22"/>
                <w:szCs w:val="22"/>
                <w:lang w:val="en-US" w:eastAsia="zh-CN"/>
              </w:rPr>
            </w:pPr>
            <w:r>
              <w:rPr>
                <w:rFonts w:hint="default" w:ascii="Times New Roman" w:hAnsi="Times New Roman" w:eastAsia="仿宋" w:cs="Times New Roman"/>
                <w:b/>
                <w:bCs/>
                <w:color w:val="auto"/>
                <w:kern w:val="0"/>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217" w:type="pct"/>
            <w:noWrap w:val="0"/>
            <w:vAlign w:val="center"/>
          </w:tcPr>
          <w:p>
            <w:pPr>
              <w:spacing w:line="360" w:lineRule="auto"/>
              <w:jc w:val="center"/>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1</w:t>
            </w:r>
          </w:p>
        </w:tc>
        <w:tc>
          <w:tcPr>
            <w:tcW w:w="557" w:type="pct"/>
            <w:tcBorders>
              <w:left w:val="nil"/>
            </w:tcBorders>
            <w:noWrap w:val="0"/>
            <w:vAlign w:val="center"/>
          </w:tcPr>
          <w:p>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lang w:val="en-US" w:eastAsia="zh-CN"/>
              </w:rPr>
            </w:pPr>
            <w:r>
              <w:rPr>
                <w:rFonts w:hint="default" w:ascii="Times New Roman" w:hAnsi="Times New Roman" w:eastAsia="方正仿宋_GBK" w:cs="Times New Roman"/>
                <w:snapToGrid/>
                <w:sz w:val="21"/>
                <w:szCs w:val="21"/>
                <w:lang w:val="en-US" w:eastAsia="zh-CN"/>
              </w:rPr>
              <w:t>报价（30%）</w:t>
            </w:r>
          </w:p>
        </w:tc>
        <w:tc>
          <w:tcPr>
            <w:tcW w:w="238" w:type="pct"/>
            <w:tcBorders>
              <w:left w:val="nil"/>
            </w:tcBorders>
            <w:noWrap w:val="0"/>
            <w:vAlign w:val="center"/>
          </w:tcPr>
          <w:p>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rPr>
            </w:pPr>
            <w:r>
              <w:rPr>
                <w:rFonts w:hint="default" w:ascii="Times New Roman" w:hAnsi="Times New Roman" w:eastAsia="方正仿宋_GBK" w:cs="Times New Roman"/>
                <w:snapToGrid/>
                <w:sz w:val="21"/>
                <w:szCs w:val="21"/>
                <w:lang w:val="en-US" w:eastAsia="zh-CN"/>
              </w:rPr>
              <w:t>30</w:t>
            </w:r>
            <w:r>
              <w:rPr>
                <w:rFonts w:hint="default" w:ascii="Times New Roman" w:hAnsi="Times New Roman" w:eastAsia="方正仿宋_GBK" w:cs="Times New Roman"/>
                <w:snapToGrid/>
                <w:sz w:val="21"/>
                <w:szCs w:val="21"/>
              </w:rPr>
              <w:t>分</w:t>
            </w:r>
          </w:p>
        </w:tc>
        <w:tc>
          <w:tcPr>
            <w:tcW w:w="3638" w:type="pct"/>
            <w:tcBorders>
              <w:left w:val="nil"/>
            </w:tcBorders>
            <w:noWrap w:val="0"/>
            <w:vAlign w:val="center"/>
          </w:tcPr>
          <w:p>
            <w:pPr>
              <w:keepNext w:val="0"/>
              <w:keepLines w:val="0"/>
              <w:pageBreakBefore w:val="0"/>
              <w:widowControl/>
              <w:kinsoku/>
              <w:wordWrap/>
              <w:overflowPunct/>
              <w:topLinePunct w:val="0"/>
              <w:autoSpaceDE/>
              <w:autoSpaceDN/>
              <w:bidi w:val="0"/>
              <w:adjustRightInd/>
              <w:snapToGrid/>
              <w:spacing w:after="100" w:afterLines="0" w:afterAutospacing="1" w:line="240" w:lineRule="auto"/>
              <w:ind w:firstLine="0" w:firstLineChars="0"/>
              <w:jc w:val="both"/>
              <w:textAlignment w:val="auto"/>
              <w:rPr>
                <w:rFonts w:hint="default" w:ascii="Times New Roman" w:hAnsi="Times New Roman" w:eastAsia="方正仿宋_GBK" w:cs="Times New Roman"/>
                <w:snapToGrid/>
                <w:sz w:val="21"/>
                <w:szCs w:val="21"/>
              </w:rPr>
            </w:pPr>
            <w:r>
              <w:rPr>
                <w:rFonts w:ascii="Times New Roman" w:hAnsi="Times New Roman" w:eastAsia="方正仿宋_GBK" w:cs="Times New Roman"/>
                <w:sz w:val="21"/>
                <w:szCs w:val="21"/>
              </w:rPr>
              <w:t>满足比选文件要求且响应价格总和的平均值作为比选基准价，响应报价得分＝（基准价/响应报价）×价格分值，四舍五入小数点后保留两位。低于</w:t>
            </w:r>
            <w:r>
              <w:rPr>
                <w:rFonts w:hint="default" w:ascii="Times New Roman" w:hAnsi="Times New Roman" w:eastAsia="方正仿宋_GBK" w:cs="Times New Roman"/>
                <w:sz w:val="21"/>
                <w:szCs w:val="21"/>
                <w:lang w:val="en-US" w:eastAsia="zh-CN"/>
              </w:rPr>
              <w:t>或</w:t>
            </w:r>
            <w:r>
              <w:rPr>
                <w:rFonts w:ascii="Times New Roman" w:hAnsi="Times New Roman" w:eastAsia="方正仿宋_GBK" w:cs="Times New Roman"/>
                <w:sz w:val="21"/>
                <w:szCs w:val="21"/>
              </w:rPr>
              <w:t>等于基准价的得满分。</w:t>
            </w:r>
          </w:p>
        </w:tc>
        <w:tc>
          <w:tcPr>
            <w:tcW w:w="347" w:type="pct"/>
            <w:tcBorders>
              <w:left w:val="nil"/>
            </w:tcBorders>
            <w:noWrap w:val="0"/>
            <w:vAlign w:val="center"/>
          </w:tcPr>
          <w:p>
            <w:pPr>
              <w:spacing w:line="360" w:lineRule="auto"/>
              <w:rPr>
                <w:rFonts w:hint="default" w:ascii="Times New Roman" w:hAnsi="Times New Roman" w:eastAsia="宋体"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17" w:type="pct"/>
            <w:tcBorders>
              <w:top w:val="nil"/>
            </w:tcBorders>
            <w:noWrap w:val="0"/>
            <w:vAlign w:val="center"/>
          </w:tcPr>
          <w:p>
            <w:pPr>
              <w:spacing w:line="360" w:lineRule="auto"/>
              <w:jc w:val="center"/>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2</w:t>
            </w:r>
          </w:p>
        </w:tc>
        <w:tc>
          <w:tcPr>
            <w:tcW w:w="557" w:type="pct"/>
            <w:tcBorders>
              <w:left w:val="nil"/>
            </w:tcBorders>
            <w:noWrap w:val="0"/>
            <w:vAlign w:val="center"/>
          </w:tcPr>
          <w:p>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lang w:val="en-US"/>
              </w:rPr>
            </w:pPr>
            <w:r>
              <w:rPr>
                <w:rFonts w:hint="default" w:ascii="Times New Roman" w:hAnsi="Times New Roman" w:eastAsia="方正仿宋_GBK" w:cs="Times New Roman"/>
                <w:snapToGrid/>
                <w:sz w:val="21"/>
                <w:szCs w:val="21"/>
                <w:lang w:val="en-US" w:eastAsia="zh-CN"/>
              </w:rPr>
              <w:t>履约能力（</w:t>
            </w:r>
            <w:r>
              <w:rPr>
                <w:rFonts w:hint="eastAsia" w:ascii="Times New Roman" w:hAnsi="Times New Roman" w:eastAsia="方正仿宋_GBK" w:cs="Times New Roman"/>
                <w:snapToGrid/>
                <w:sz w:val="21"/>
                <w:szCs w:val="21"/>
                <w:lang w:val="en-US" w:eastAsia="zh-CN"/>
              </w:rPr>
              <w:t>1</w:t>
            </w:r>
            <w:r>
              <w:rPr>
                <w:rFonts w:hint="default" w:ascii="Times New Roman" w:hAnsi="Times New Roman" w:eastAsia="方正仿宋_GBK" w:cs="Times New Roman"/>
                <w:snapToGrid/>
                <w:sz w:val="21"/>
                <w:szCs w:val="21"/>
                <w:lang w:val="en-US" w:eastAsia="zh-CN"/>
              </w:rPr>
              <w:t>0%）</w:t>
            </w:r>
          </w:p>
        </w:tc>
        <w:tc>
          <w:tcPr>
            <w:tcW w:w="238" w:type="pct"/>
            <w:tcBorders>
              <w:left w:val="nil"/>
            </w:tcBorders>
            <w:noWrap w:val="0"/>
            <w:vAlign w:val="center"/>
          </w:tcPr>
          <w:p>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rPr>
            </w:pPr>
            <w:r>
              <w:rPr>
                <w:rFonts w:hint="default" w:ascii="Times New Roman" w:hAnsi="Times New Roman" w:eastAsia="方正仿宋_GBK" w:cs="Times New Roman"/>
                <w:snapToGrid/>
                <w:sz w:val="21"/>
                <w:szCs w:val="21"/>
                <w:highlight w:val="none"/>
                <w:lang w:val="en-US" w:eastAsia="zh-CN"/>
              </w:rPr>
              <w:t>10</w:t>
            </w:r>
            <w:r>
              <w:rPr>
                <w:rFonts w:hint="default" w:ascii="Times New Roman" w:hAnsi="Times New Roman" w:eastAsia="方正仿宋_GBK" w:cs="Times New Roman"/>
                <w:snapToGrid/>
                <w:sz w:val="21"/>
                <w:szCs w:val="21"/>
                <w:highlight w:val="none"/>
              </w:rPr>
              <w:t>分</w:t>
            </w:r>
          </w:p>
        </w:tc>
        <w:tc>
          <w:tcPr>
            <w:tcW w:w="3638" w:type="pct"/>
            <w:tcBorders>
              <w:left w:val="nil"/>
            </w:tcBorders>
            <w:noWrap w:val="0"/>
            <w:vAlign w:val="top"/>
          </w:tcPr>
          <w:p>
            <w:pPr>
              <w:keepNext w:val="0"/>
              <w:keepLines w:val="0"/>
              <w:pageBreakBefore w:val="0"/>
              <w:widowControl/>
              <w:kinsoku/>
              <w:wordWrap/>
              <w:overflowPunct/>
              <w:topLinePunct w:val="0"/>
              <w:autoSpaceDE/>
              <w:autoSpaceDN/>
              <w:bidi w:val="0"/>
              <w:adjustRightInd/>
              <w:snapToGrid/>
              <w:spacing w:after="100" w:afterLines="0" w:afterAutospacing="1" w:line="240" w:lineRule="auto"/>
              <w:ind w:firstLine="0" w:firstLineChars="0"/>
              <w:jc w:val="both"/>
              <w:textAlignment w:val="auto"/>
              <w:rPr>
                <w:rFonts w:hint="default" w:ascii="Times New Roman" w:hAnsi="Times New Roman" w:eastAsia="方正仿宋_GBK" w:cs="Times New Roman"/>
                <w:snapToGrid/>
                <w:sz w:val="21"/>
                <w:szCs w:val="21"/>
                <w:highlight w:val="none"/>
              </w:rPr>
            </w:pP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snapToGrid/>
                <w:sz w:val="21"/>
                <w:szCs w:val="21"/>
                <w:highlight w:val="none"/>
                <w:lang w:val="en-US" w:eastAsia="zh-CN"/>
              </w:rPr>
              <w:t>提供2021年1月1日（以合同签订日期为准）以来具有医疗系统类似项目业绩的，每有一个得2分，本项满分10分。注：提供中标通知书、合同复印件加盖供应商公章。</w:t>
            </w:r>
          </w:p>
        </w:tc>
        <w:tc>
          <w:tcPr>
            <w:tcW w:w="347" w:type="pct"/>
            <w:tcBorders>
              <w:left w:val="nil"/>
            </w:tcBorders>
            <w:noWrap w:val="0"/>
            <w:vAlign w:val="top"/>
          </w:tcPr>
          <w:p>
            <w:pPr>
              <w:numPr>
                <w:ilvl w:val="0"/>
                <w:numId w:val="0"/>
              </w:numPr>
              <w:spacing w:line="360" w:lineRule="auto"/>
              <w:jc w:val="left"/>
              <w:rPr>
                <w:rFonts w:hint="default" w:ascii="Times New Roman" w:hAnsi="Times New Roman" w:eastAsia="宋体"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17" w:type="pct"/>
            <w:noWrap w:val="0"/>
            <w:vAlign w:val="center"/>
          </w:tcPr>
          <w:p>
            <w:pPr>
              <w:spacing w:line="36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w:t>
            </w:r>
          </w:p>
        </w:tc>
        <w:tc>
          <w:tcPr>
            <w:tcW w:w="557" w:type="pct"/>
            <w:tcBorders>
              <w:left w:val="nil"/>
            </w:tcBorders>
            <w:noWrap w:val="0"/>
            <w:vAlign w:val="center"/>
          </w:tcPr>
          <w:p>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lang w:val="en-US" w:eastAsia="zh-CN"/>
              </w:rPr>
            </w:pPr>
            <w:r>
              <w:rPr>
                <w:rFonts w:hint="default" w:ascii="Times New Roman" w:hAnsi="Times New Roman" w:eastAsia="方正仿宋_GBK" w:cs="Times New Roman"/>
                <w:snapToGrid/>
                <w:sz w:val="21"/>
                <w:szCs w:val="21"/>
                <w:lang w:val="en-US" w:eastAsia="zh-CN"/>
              </w:rPr>
              <w:t>产品要求（</w:t>
            </w:r>
            <w:r>
              <w:rPr>
                <w:rFonts w:hint="eastAsia" w:ascii="Times New Roman" w:hAnsi="Times New Roman" w:eastAsia="方正仿宋_GBK" w:cs="Times New Roman"/>
                <w:snapToGrid/>
                <w:sz w:val="21"/>
                <w:szCs w:val="21"/>
                <w:lang w:val="en-US" w:eastAsia="zh-CN"/>
              </w:rPr>
              <w:t>28</w:t>
            </w:r>
            <w:r>
              <w:rPr>
                <w:rFonts w:hint="default" w:ascii="Times New Roman" w:hAnsi="Times New Roman" w:eastAsia="方正仿宋_GBK" w:cs="Times New Roman"/>
                <w:snapToGrid/>
                <w:sz w:val="21"/>
                <w:szCs w:val="21"/>
                <w:lang w:val="en-US" w:eastAsia="zh-CN"/>
              </w:rPr>
              <w:t>%）</w:t>
            </w:r>
          </w:p>
          <w:p>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rPr>
            </w:pPr>
          </w:p>
        </w:tc>
        <w:tc>
          <w:tcPr>
            <w:tcW w:w="238" w:type="pct"/>
            <w:tcBorders>
              <w:left w:val="nil"/>
            </w:tcBorders>
            <w:noWrap w:val="0"/>
            <w:vAlign w:val="center"/>
          </w:tcPr>
          <w:p>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lang w:val="en-US" w:eastAsia="zh-CN"/>
              </w:rPr>
            </w:pPr>
            <w:r>
              <w:rPr>
                <w:rFonts w:hint="eastAsia" w:ascii="Times New Roman" w:hAnsi="Times New Roman" w:eastAsia="方正仿宋_GBK" w:cs="Times New Roman"/>
                <w:snapToGrid/>
                <w:sz w:val="21"/>
                <w:szCs w:val="21"/>
                <w:lang w:val="en-US" w:eastAsia="zh-CN"/>
              </w:rPr>
              <w:t>28</w:t>
            </w:r>
            <w:r>
              <w:rPr>
                <w:rFonts w:hint="default" w:ascii="Times New Roman" w:hAnsi="Times New Roman" w:eastAsia="方正仿宋_GBK" w:cs="Times New Roman"/>
                <w:snapToGrid/>
                <w:sz w:val="21"/>
                <w:szCs w:val="21"/>
                <w:lang w:val="en-US" w:eastAsia="zh-CN"/>
              </w:rPr>
              <w:t>分</w:t>
            </w:r>
          </w:p>
        </w:tc>
        <w:tc>
          <w:tcPr>
            <w:tcW w:w="3638" w:type="pct"/>
            <w:tcBorders>
              <w:left w:val="nil"/>
            </w:tcBorders>
            <w:noWrap w:val="0"/>
            <w:vAlign w:val="top"/>
          </w:tcPr>
          <w:p>
            <w:pPr>
              <w:widowControl w:val="0"/>
              <w:snapToGrid/>
              <w:spacing w:line="400" w:lineRule="exact"/>
              <w:jc w:val="left"/>
              <w:outlineLvl w:val="0"/>
              <w:rPr>
                <w:rFonts w:hint="default" w:ascii="Times New Roman" w:hAnsi="Times New Roman" w:eastAsia="方正仿宋_GBK" w:cs="Times New Roman"/>
                <w:color w:val="auto"/>
                <w:szCs w:val="21"/>
                <w:highlight w:val="yellow"/>
              </w:rPr>
            </w:pPr>
            <w:r>
              <w:rPr>
                <w:rFonts w:hint="default" w:ascii="Times New Roman" w:hAnsi="Times New Roman" w:eastAsia="方正仿宋_GBK" w:cs="Times New Roman"/>
                <w:color w:val="auto"/>
                <w:szCs w:val="21"/>
              </w:rPr>
              <w:t>1</w:t>
            </w:r>
            <w:r>
              <w:rPr>
                <w:rFonts w:hint="eastAsia" w:ascii="Times New Roman" w:hAnsi="Times New Roman" w:eastAsia="方正仿宋_GBK" w:cs="Times New Roman"/>
                <w:color w:val="auto"/>
                <w:szCs w:val="21"/>
                <w:lang w:val="en-US" w:eastAsia="zh-CN"/>
              </w:rPr>
              <w:t>.</w:t>
            </w: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color w:val="auto"/>
                <w:szCs w:val="21"/>
              </w:rPr>
              <w:t>针对采购文件</w:t>
            </w:r>
            <w:r>
              <w:rPr>
                <w:rFonts w:hint="eastAsia" w:ascii="Times New Roman" w:hAnsi="Times New Roman" w:eastAsia="方正仿宋_GBK" w:cs="Times New Roman"/>
                <w:color w:val="auto"/>
                <w:szCs w:val="21"/>
                <w:lang w:eastAsia="zh-CN"/>
              </w:rPr>
              <w:t>“</w:t>
            </w:r>
            <w:r>
              <w:rPr>
                <w:rFonts w:hint="eastAsia" w:ascii="Times New Roman" w:hAnsi="Times New Roman" w:eastAsia="方正仿宋_GBK" w:cs="Times New Roman"/>
                <w:snapToGrid/>
                <w:kern w:val="2"/>
                <w:sz w:val="21"/>
                <w:szCs w:val="21"/>
                <w:lang w:val="en-US" w:eastAsia="zh-CN" w:bidi="ar-SA"/>
              </w:rPr>
              <w:t>二、</w:t>
            </w:r>
            <w:r>
              <w:rPr>
                <w:rFonts w:hint="default" w:ascii="Times New Roman" w:hAnsi="Times New Roman" w:eastAsia="方正仿宋_GBK" w:cs="Times New Roman"/>
                <w:snapToGrid/>
                <w:kern w:val="2"/>
                <w:sz w:val="21"/>
                <w:szCs w:val="21"/>
                <w:lang w:val="en-US" w:eastAsia="zh-CN" w:bidi="ar-SA"/>
              </w:rPr>
              <w:t>技术</w:t>
            </w:r>
            <w:r>
              <w:rPr>
                <w:rFonts w:hint="eastAsia" w:ascii="Times New Roman" w:hAnsi="Times New Roman" w:eastAsia="方正仿宋_GBK" w:cs="Times New Roman"/>
                <w:snapToGrid/>
                <w:kern w:val="2"/>
                <w:sz w:val="21"/>
                <w:szCs w:val="21"/>
                <w:lang w:val="en-US" w:eastAsia="zh-CN" w:bidi="ar-SA"/>
              </w:rPr>
              <w:t>参数</w:t>
            </w:r>
            <w:r>
              <w:rPr>
                <w:rFonts w:hint="default" w:ascii="Times New Roman" w:hAnsi="Times New Roman" w:eastAsia="方正仿宋_GBK" w:cs="Times New Roman"/>
                <w:snapToGrid/>
                <w:kern w:val="2"/>
                <w:sz w:val="21"/>
                <w:szCs w:val="21"/>
                <w:lang w:val="en-US" w:eastAsia="zh-CN" w:bidi="ar-SA"/>
              </w:rPr>
              <w:t>要求</w:t>
            </w:r>
            <w:r>
              <w:rPr>
                <w:rFonts w:hint="eastAsia" w:ascii="Times New Roman" w:hAnsi="Times New Roman" w:eastAsia="方正仿宋_GBK" w:cs="Times New Roman"/>
                <w:snapToGrid/>
                <w:kern w:val="2"/>
                <w:sz w:val="21"/>
                <w:szCs w:val="21"/>
                <w:lang w:val="en-US" w:eastAsia="zh-CN" w:bidi="ar-SA"/>
              </w:rPr>
              <w:t>”</w:t>
            </w:r>
            <w:r>
              <w:rPr>
                <w:rFonts w:hint="default" w:ascii="Times New Roman" w:hAnsi="Times New Roman" w:eastAsia="方正仿宋_GBK" w:cs="Times New Roman"/>
                <w:color w:val="auto"/>
                <w:szCs w:val="21"/>
              </w:rPr>
              <w:t>中</w:t>
            </w:r>
            <w:r>
              <w:rPr>
                <w:rFonts w:hint="eastAsia" w:ascii="Times New Roman" w:hAnsi="Times New Roman" w:eastAsia="方正仿宋_GBK" w:cs="Times New Roman"/>
                <w:color w:val="auto"/>
                <w:szCs w:val="21"/>
                <w:lang w:val="en-US" w:eastAsia="zh-CN"/>
              </w:rPr>
              <w:t>各</w:t>
            </w:r>
            <w:r>
              <w:rPr>
                <w:rFonts w:hint="default" w:ascii="Times New Roman" w:hAnsi="Times New Roman" w:eastAsia="方正仿宋_GBK" w:cs="Times New Roman"/>
                <w:color w:val="auto"/>
                <w:szCs w:val="21"/>
              </w:rPr>
              <w:t>参数条款的响应得分规则如下：</w:t>
            </w:r>
          </w:p>
          <w:p>
            <w:pPr>
              <w:keepNext w:val="0"/>
              <w:keepLines w:val="0"/>
              <w:pageBreakBefore w:val="0"/>
              <w:widowControl/>
              <w:kinsoku/>
              <w:wordWrap/>
              <w:overflowPunct/>
              <w:topLinePunct w:val="0"/>
              <w:autoSpaceDE/>
              <w:autoSpaceDN/>
              <w:bidi w:val="0"/>
              <w:adjustRightInd/>
              <w:snapToGrid/>
              <w:spacing w:afterLines="0" w:afterAutospacing="0" w:line="240" w:lineRule="exact"/>
              <w:textAlignment w:val="auto"/>
              <w:rPr>
                <w:rFonts w:ascii="Times New Roman" w:hAnsi="Times New Roman" w:eastAsia="方正仿宋_GBK" w:cs="Times New Roman"/>
                <w:color w:val="auto"/>
                <w:szCs w:val="21"/>
                <w:highlight w:val="none"/>
              </w:rPr>
            </w:pPr>
            <w:r>
              <w:rPr>
                <w:rFonts w:hint="default" w:ascii="Times New Roman" w:hAnsi="Times New Roman" w:eastAsia="方正仿宋_GBK" w:cs="Times New Roman"/>
                <w:color w:val="auto"/>
                <w:szCs w:val="21"/>
                <w:highlight w:val="none"/>
              </w:rPr>
              <w:t>技术参数条款响应得分=（</w:t>
            </w: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color w:val="auto"/>
                <w:szCs w:val="21"/>
                <w:highlight w:val="none"/>
              </w:rPr>
              <w:t>满足技术参数条款的数量÷技术参数条款的总数量）×</w:t>
            </w:r>
            <w:r>
              <w:rPr>
                <w:rFonts w:hint="eastAsia" w:ascii="Times New Roman" w:hAnsi="Times New Roman" w:eastAsia="方正仿宋_GBK" w:cs="Times New Roman"/>
                <w:szCs w:val="21"/>
                <w:highlight w:val="none"/>
                <w:lang w:val="en-US" w:eastAsia="zh-CN"/>
              </w:rPr>
              <w:t>22</w:t>
            </w:r>
            <w:r>
              <w:rPr>
                <w:rFonts w:hint="default" w:ascii="Times New Roman" w:hAnsi="Times New Roman" w:eastAsia="方正仿宋_GBK" w:cs="Times New Roman"/>
                <w:color w:val="auto"/>
                <w:szCs w:val="21"/>
                <w:highlight w:val="none"/>
              </w:rPr>
              <w:t>分。</w:t>
            </w:r>
          </w:p>
          <w:p>
            <w:pPr>
              <w:keepNext w:val="0"/>
              <w:keepLines w:val="0"/>
              <w:pageBreakBefore w:val="0"/>
              <w:widowControl/>
              <w:kinsoku/>
              <w:wordWrap/>
              <w:overflowPunct/>
              <w:topLinePunct w:val="0"/>
              <w:autoSpaceDE/>
              <w:autoSpaceDN/>
              <w:bidi w:val="0"/>
              <w:adjustRightInd/>
              <w:snapToGrid/>
              <w:spacing w:after="100" w:afterLines="0" w:afterAutospacing="1" w:line="240" w:lineRule="auto"/>
              <w:ind w:firstLine="0" w:firstLineChars="0"/>
              <w:jc w:val="both"/>
              <w:textAlignment w:val="auto"/>
              <w:rPr>
                <w:rFonts w:hint="default" w:ascii="Times New Roman" w:hAnsi="Times New Roman" w:eastAsia="方正仿宋_GBK" w:cs="Times New Roman"/>
                <w:snapToGrid/>
                <w:sz w:val="21"/>
                <w:szCs w:val="21"/>
                <w:lang w:val="en-US" w:eastAsia="zh-CN"/>
              </w:rPr>
            </w:pPr>
            <w:r>
              <w:rPr>
                <w:rFonts w:hint="default" w:ascii="Times New Roman" w:hAnsi="Times New Roman" w:eastAsia="方正仿宋_GBK" w:cs="Times New Roman"/>
                <w:snapToGrid/>
                <w:sz w:val="21"/>
                <w:szCs w:val="21"/>
                <w:lang w:val="en-US" w:eastAsia="zh-CN"/>
              </w:rPr>
              <w:t>2</w:t>
            </w:r>
            <w:r>
              <w:rPr>
                <w:rFonts w:hint="eastAsia" w:ascii="Times New Roman" w:hAnsi="Times New Roman" w:eastAsia="方正仿宋_GBK" w:cs="Times New Roman"/>
                <w:snapToGrid/>
                <w:sz w:val="21"/>
                <w:szCs w:val="21"/>
                <w:lang w:val="en-US" w:eastAsia="zh-CN"/>
              </w:rPr>
              <w:t>.</w:t>
            </w: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snapToGrid/>
                <w:sz w:val="21"/>
                <w:szCs w:val="21"/>
                <w:lang w:val="en-US" w:eastAsia="zh-CN"/>
              </w:rPr>
              <w:t>提供符合以下要求的材料检测报告：自2021年1月1日以来经国家认可的省级或省级以上质量监督检验中心出具的抽样检验合格的产品检验（检测）报告（报告封面需有CMA，检测依据必须包含《QB/T 3325-2017金属家具通用技术条件》、《QB/T 35607-2017绿色产品评价家具》、《QB/T 2601-2013 体育场馆公共座椅》中至少有一项的，得3分。在得3分的基础上：报告中体现出以下参数的另外得分：</w:t>
            </w:r>
          </w:p>
          <w:p>
            <w:pPr>
              <w:keepNext w:val="0"/>
              <w:keepLines w:val="0"/>
              <w:pageBreakBefore w:val="0"/>
              <w:widowControl/>
              <w:numPr>
                <w:ilvl w:val="0"/>
                <w:numId w:val="0"/>
              </w:numPr>
              <w:kinsoku/>
              <w:wordWrap/>
              <w:overflowPunct/>
              <w:topLinePunct w:val="0"/>
              <w:autoSpaceDE/>
              <w:autoSpaceDN/>
              <w:bidi w:val="0"/>
              <w:adjustRightInd/>
              <w:snapToGrid/>
              <w:spacing w:afterLines="0" w:afterAutospacing="0" w:line="320" w:lineRule="exact"/>
              <w:jc w:val="both"/>
              <w:textAlignment w:val="auto"/>
              <w:rPr>
                <w:rFonts w:hint="default" w:ascii="Times New Roman" w:hAnsi="Times New Roman" w:eastAsia="方正仿宋_GBK" w:cs="Times New Roman"/>
                <w:szCs w:val="21"/>
                <w:lang w:val="en-US" w:eastAsia="zh-CN"/>
              </w:rPr>
            </w:pPr>
            <w:r>
              <w:rPr>
                <w:rFonts w:hint="default" w:ascii="Times New Roman" w:hAnsi="Times New Roman" w:eastAsia="方正仿宋_GBK" w:cs="Times New Roman"/>
                <w:szCs w:val="21"/>
                <w:lang w:val="en-US" w:eastAsia="zh-CN"/>
              </w:rPr>
              <w:t>①座面、椅背静载荷联合实验，座面：1600N：10次，椅背：760N，10次，均符合合格，得0.5分；</w:t>
            </w:r>
          </w:p>
          <w:p>
            <w:pPr>
              <w:keepNext w:val="0"/>
              <w:keepLines w:val="0"/>
              <w:pageBreakBefore w:val="0"/>
              <w:widowControl/>
              <w:numPr>
                <w:ilvl w:val="0"/>
                <w:numId w:val="0"/>
              </w:numPr>
              <w:kinsoku/>
              <w:wordWrap/>
              <w:overflowPunct/>
              <w:topLinePunct w:val="0"/>
              <w:autoSpaceDE/>
              <w:autoSpaceDN/>
              <w:bidi w:val="0"/>
              <w:adjustRightInd/>
              <w:snapToGrid/>
              <w:spacing w:afterLines="0" w:afterAutospacing="0" w:line="320" w:lineRule="exact"/>
              <w:jc w:val="both"/>
              <w:textAlignment w:val="auto"/>
              <w:rPr>
                <w:rFonts w:hint="default" w:ascii="Times New Roman" w:hAnsi="Times New Roman" w:eastAsia="方正仿宋_GBK" w:cs="Times New Roman"/>
                <w:szCs w:val="21"/>
                <w:lang w:val="en-US" w:eastAsia="zh-CN"/>
              </w:rPr>
            </w:pPr>
            <w:r>
              <w:rPr>
                <w:rFonts w:hint="default" w:ascii="Times New Roman" w:hAnsi="Times New Roman" w:eastAsia="方正仿宋_GBK" w:cs="Times New Roman"/>
                <w:szCs w:val="21"/>
                <w:lang w:val="en-US" w:eastAsia="zh-CN"/>
              </w:rPr>
              <w:t>②扶手侧向静载荷实验600N，10次，均符合合格，得0.5分；</w:t>
            </w:r>
          </w:p>
          <w:p>
            <w:pPr>
              <w:keepNext w:val="0"/>
              <w:keepLines w:val="0"/>
              <w:pageBreakBefore w:val="0"/>
              <w:widowControl/>
              <w:numPr>
                <w:ilvl w:val="0"/>
                <w:numId w:val="0"/>
              </w:numPr>
              <w:kinsoku/>
              <w:wordWrap/>
              <w:overflowPunct/>
              <w:topLinePunct w:val="0"/>
              <w:autoSpaceDE/>
              <w:autoSpaceDN/>
              <w:bidi w:val="0"/>
              <w:adjustRightInd/>
              <w:snapToGrid/>
              <w:spacing w:afterLines="0" w:afterAutospacing="0" w:line="320" w:lineRule="exact"/>
              <w:jc w:val="both"/>
              <w:textAlignment w:val="auto"/>
              <w:rPr>
                <w:rFonts w:hint="default" w:ascii="Times New Roman" w:hAnsi="Times New Roman" w:eastAsia="方正仿宋_GBK" w:cs="Times New Roman"/>
                <w:szCs w:val="21"/>
                <w:lang w:val="en-US" w:eastAsia="zh-CN"/>
              </w:rPr>
            </w:pPr>
            <w:r>
              <w:rPr>
                <w:rFonts w:hint="default" w:ascii="Times New Roman" w:hAnsi="Times New Roman" w:eastAsia="方正仿宋_GBK" w:cs="Times New Roman"/>
                <w:szCs w:val="21"/>
                <w:lang w:val="en-US" w:eastAsia="zh-CN"/>
              </w:rPr>
              <w:t>③扶手垂直向下静载荷实验900N，10次，均符合合格，得0.5分；</w:t>
            </w:r>
          </w:p>
          <w:p>
            <w:pPr>
              <w:keepNext w:val="0"/>
              <w:keepLines w:val="0"/>
              <w:pageBreakBefore w:val="0"/>
              <w:widowControl/>
              <w:numPr>
                <w:ilvl w:val="0"/>
                <w:numId w:val="0"/>
              </w:numPr>
              <w:kinsoku/>
              <w:wordWrap/>
              <w:overflowPunct/>
              <w:topLinePunct w:val="0"/>
              <w:autoSpaceDE/>
              <w:autoSpaceDN/>
              <w:bidi w:val="0"/>
              <w:adjustRightInd/>
              <w:snapToGrid/>
              <w:spacing w:afterLines="0" w:afterAutospacing="0" w:line="320" w:lineRule="exact"/>
              <w:jc w:val="both"/>
              <w:textAlignment w:val="auto"/>
              <w:rPr>
                <w:rFonts w:hint="default" w:ascii="Times New Roman" w:hAnsi="Times New Roman" w:eastAsia="方正仿宋_GBK" w:cs="Times New Roman"/>
                <w:szCs w:val="21"/>
                <w:lang w:val="en-US" w:eastAsia="zh-CN"/>
              </w:rPr>
            </w:pPr>
            <w:r>
              <w:rPr>
                <w:rFonts w:hint="default" w:ascii="Times New Roman" w:hAnsi="Times New Roman" w:eastAsia="方正仿宋_GBK" w:cs="Times New Roman"/>
                <w:szCs w:val="21"/>
                <w:lang w:val="en-US" w:eastAsia="zh-CN"/>
              </w:rPr>
              <w:t>④座面冲击实验，冲击高度240mm，10次，均符合合格，得0.5分；</w:t>
            </w:r>
          </w:p>
          <w:p>
            <w:pPr>
              <w:keepNext w:val="0"/>
              <w:keepLines w:val="0"/>
              <w:pageBreakBefore w:val="0"/>
              <w:widowControl/>
              <w:numPr>
                <w:ilvl w:val="0"/>
                <w:numId w:val="0"/>
              </w:numPr>
              <w:kinsoku/>
              <w:wordWrap/>
              <w:overflowPunct/>
              <w:topLinePunct w:val="0"/>
              <w:autoSpaceDE/>
              <w:autoSpaceDN/>
              <w:bidi w:val="0"/>
              <w:adjustRightInd/>
              <w:snapToGrid/>
              <w:spacing w:afterLines="0" w:afterAutospacing="0" w:line="320" w:lineRule="exact"/>
              <w:jc w:val="both"/>
              <w:textAlignment w:val="auto"/>
              <w:rPr>
                <w:rFonts w:hint="default" w:ascii="Times New Roman" w:hAnsi="Times New Roman" w:eastAsia="方正仿宋_GBK" w:cs="Times New Roman"/>
                <w:szCs w:val="21"/>
                <w:lang w:val="en-US" w:eastAsia="zh-CN"/>
              </w:rPr>
            </w:pPr>
            <w:r>
              <w:rPr>
                <w:rFonts w:hint="default" w:ascii="Times New Roman" w:hAnsi="Times New Roman" w:eastAsia="方正仿宋_GBK" w:cs="Times New Roman"/>
                <w:szCs w:val="21"/>
                <w:lang w:val="en-US" w:eastAsia="zh-CN"/>
              </w:rPr>
              <w:t>⑤椅背冲击实验，冲击高度330mm，10次，均符合合格，得0.5分；</w:t>
            </w:r>
          </w:p>
          <w:p>
            <w:pPr>
              <w:keepNext w:val="0"/>
              <w:keepLines w:val="0"/>
              <w:pageBreakBefore w:val="0"/>
              <w:widowControl/>
              <w:numPr>
                <w:ilvl w:val="0"/>
                <w:numId w:val="0"/>
              </w:numPr>
              <w:kinsoku/>
              <w:wordWrap/>
              <w:overflowPunct/>
              <w:topLinePunct w:val="0"/>
              <w:autoSpaceDE/>
              <w:autoSpaceDN/>
              <w:bidi w:val="0"/>
              <w:adjustRightInd/>
              <w:snapToGrid/>
              <w:spacing w:afterLines="0" w:afterAutospacing="0" w:line="320" w:lineRule="exact"/>
              <w:jc w:val="both"/>
              <w:textAlignment w:val="auto"/>
              <w:rPr>
                <w:rFonts w:ascii="Times New Roman" w:hAnsi="Times New Roman" w:cs="Times New Roman"/>
              </w:rPr>
            </w:pPr>
            <w:r>
              <w:rPr>
                <w:rFonts w:hint="default" w:ascii="Times New Roman" w:hAnsi="Times New Roman" w:eastAsia="方正仿宋_GBK" w:cs="Times New Roman"/>
                <w:szCs w:val="21"/>
                <w:lang w:val="en-US" w:eastAsia="zh-CN"/>
              </w:rPr>
              <w:t>⑥扶手冲击实验，冲击高度330mm，角度48°，10次，均符合合格，得0.5分。</w:t>
            </w:r>
          </w:p>
          <w:p>
            <w:pPr>
              <w:keepNext w:val="0"/>
              <w:keepLines w:val="0"/>
              <w:pageBreakBefore w:val="0"/>
              <w:widowControl/>
              <w:kinsoku/>
              <w:wordWrap/>
              <w:overflowPunct/>
              <w:topLinePunct w:val="0"/>
              <w:autoSpaceDE/>
              <w:autoSpaceDN/>
              <w:bidi w:val="0"/>
              <w:adjustRightInd/>
              <w:snapToGrid/>
              <w:spacing w:afterLines="0" w:afterAutospacing="0" w:line="240" w:lineRule="exact"/>
              <w:ind w:firstLine="0" w:firstLineChars="0"/>
              <w:jc w:val="both"/>
              <w:textAlignment w:val="auto"/>
              <w:rPr>
                <w:rFonts w:hint="default" w:ascii="Times New Roman" w:hAnsi="Times New Roman" w:eastAsia="方正仿宋_GBK" w:cs="Times New Roman"/>
                <w:snapToGrid/>
                <w:sz w:val="21"/>
                <w:szCs w:val="21"/>
                <w:lang w:val="en-US" w:eastAsia="zh-CN"/>
              </w:rPr>
            </w:pPr>
            <w:r>
              <w:rPr>
                <w:rFonts w:hint="default" w:ascii="Times New Roman" w:hAnsi="Times New Roman" w:eastAsia="方正仿宋_GBK" w:cs="Times New Roman"/>
                <w:snapToGrid/>
                <w:sz w:val="21"/>
                <w:szCs w:val="21"/>
                <w:lang w:val="en-US" w:eastAsia="zh-CN"/>
              </w:rPr>
              <w:t>本项满分</w:t>
            </w:r>
            <w:r>
              <w:rPr>
                <w:rFonts w:hint="eastAsia" w:ascii="Times New Roman" w:hAnsi="Times New Roman" w:eastAsia="方正仿宋_GBK" w:cs="Times New Roman"/>
                <w:snapToGrid/>
                <w:sz w:val="21"/>
                <w:szCs w:val="21"/>
                <w:lang w:val="en-US" w:eastAsia="zh-CN"/>
              </w:rPr>
              <w:t>28</w:t>
            </w:r>
            <w:r>
              <w:rPr>
                <w:rFonts w:hint="default" w:ascii="Times New Roman" w:hAnsi="Times New Roman" w:eastAsia="方正仿宋_GBK" w:cs="Times New Roman"/>
                <w:snapToGrid/>
                <w:sz w:val="21"/>
                <w:szCs w:val="21"/>
                <w:lang w:val="en-US" w:eastAsia="zh-CN"/>
              </w:rPr>
              <w:t>分。</w:t>
            </w:r>
          </w:p>
          <w:p>
            <w:pPr>
              <w:keepNext w:val="0"/>
              <w:keepLines w:val="0"/>
              <w:pageBreakBefore w:val="0"/>
              <w:widowControl/>
              <w:kinsoku/>
              <w:wordWrap/>
              <w:overflowPunct/>
              <w:topLinePunct w:val="0"/>
              <w:autoSpaceDE/>
              <w:autoSpaceDN/>
              <w:bidi w:val="0"/>
              <w:adjustRightInd/>
              <w:snapToGrid/>
              <w:spacing w:after="100" w:afterLines="0" w:afterAutospacing="1" w:line="240" w:lineRule="auto"/>
              <w:ind w:firstLine="0" w:firstLineChars="0"/>
              <w:jc w:val="both"/>
              <w:textAlignment w:val="auto"/>
              <w:rPr>
                <w:rFonts w:hint="default" w:ascii="Times New Roman" w:hAnsi="Times New Roman" w:eastAsia="方正仿宋_GBK" w:cs="Times New Roman"/>
                <w:snapToGrid/>
                <w:sz w:val="21"/>
                <w:szCs w:val="21"/>
              </w:rPr>
            </w:pPr>
            <w:r>
              <w:rPr>
                <w:rFonts w:hint="default" w:ascii="Times New Roman" w:hAnsi="Times New Roman" w:eastAsia="方正仿宋_GBK" w:cs="Times New Roman"/>
                <w:snapToGrid/>
                <w:sz w:val="21"/>
                <w:szCs w:val="21"/>
                <w:lang w:val="en-US" w:eastAsia="zh-CN"/>
              </w:rPr>
              <w:t>注：响应文件中提供国家认可的第三方检测机构出具的检测报告扫描件或影印件（检测结论应为合格，受检单位与所投产品制造商一致，原件中标后核查）。</w:t>
            </w:r>
          </w:p>
        </w:tc>
        <w:tc>
          <w:tcPr>
            <w:tcW w:w="347" w:type="pct"/>
            <w:tcBorders>
              <w:left w:val="nil"/>
            </w:tcBorders>
            <w:noWrap w:val="0"/>
            <w:vAlign w:val="top"/>
          </w:tcPr>
          <w:p>
            <w:pPr>
              <w:numPr>
                <w:ilvl w:val="0"/>
                <w:numId w:val="0"/>
              </w:numPr>
              <w:spacing w:line="360" w:lineRule="auto"/>
              <w:jc w:val="left"/>
              <w:rPr>
                <w:rFonts w:hint="default" w:ascii="Times New Roman" w:hAnsi="Times New Roman" w:eastAsia="宋体"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jc w:val="center"/>
        </w:trPr>
        <w:tc>
          <w:tcPr>
            <w:tcW w:w="217" w:type="pct"/>
            <w:noWrap w:val="0"/>
            <w:vAlign w:val="center"/>
          </w:tcPr>
          <w:p>
            <w:pPr>
              <w:spacing w:line="36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w:t>
            </w:r>
          </w:p>
        </w:tc>
        <w:tc>
          <w:tcPr>
            <w:tcW w:w="557" w:type="pct"/>
            <w:tcBorders>
              <w:left w:val="nil"/>
            </w:tcBorders>
            <w:noWrap w:val="0"/>
            <w:vAlign w:val="center"/>
          </w:tcPr>
          <w:p>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lang w:val="en-US" w:eastAsia="zh-CN"/>
              </w:rPr>
            </w:pPr>
            <w:r>
              <w:rPr>
                <w:rFonts w:hint="default" w:ascii="Times New Roman" w:hAnsi="Times New Roman" w:eastAsia="方正仿宋_GBK" w:cs="Times New Roman"/>
                <w:snapToGrid/>
                <w:sz w:val="21"/>
                <w:szCs w:val="21"/>
                <w:lang w:val="en-US" w:eastAsia="zh-CN"/>
              </w:rPr>
              <w:t>项目实施方案（</w:t>
            </w:r>
            <w:r>
              <w:rPr>
                <w:rFonts w:hint="eastAsia" w:ascii="Times New Roman" w:hAnsi="Times New Roman" w:eastAsia="方正仿宋_GBK" w:cs="Times New Roman"/>
                <w:snapToGrid/>
                <w:sz w:val="21"/>
                <w:szCs w:val="21"/>
                <w:lang w:val="en-US" w:eastAsia="zh-CN"/>
              </w:rPr>
              <w:t>32</w:t>
            </w:r>
            <w:r>
              <w:rPr>
                <w:rFonts w:hint="default" w:ascii="Times New Roman" w:hAnsi="Times New Roman" w:eastAsia="方正仿宋_GBK" w:cs="Times New Roman"/>
                <w:snapToGrid/>
                <w:sz w:val="21"/>
                <w:szCs w:val="21"/>
                <w:lang w:val="en-US" w:eastAsia="zh-CN"/>
              </w:rPr>
              <w:t>%）</w:t>
            </w:r>
          </w:p>
        </w:tc>
        <w:tc>
          <w:tcPr>
            <w:tcW w:w="238" w:type="pct"/>
            <w:tcBorders>
              <w:left w:val="nil"/>
            </w:tcBorders>
            <w:noWrap w:val="0"/>
            <w:vAlign w:val="center"/>
          </w:tcPr>
          <w:p>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lang w:val="en-US" w:eastAsia="zh-CN"/>
              </w:rPr>
            </w:pPr>
            <w:r>
              <w:rPr>
                <w:rFonts w:hint="eastAsia" w:ascii="Times New Roman" w:hAnsi="Times New Roman" w:eastAsia="方正仿宋_GBK" w:cs="Times New Roman"/>
                <w:snapToGrid/>
                <w:sz w:val="21"/>
                <w:szCs w:val="21"/>
                <w:lang w:val="en-US" w:eastAsia="zh-CN"/>
              </w:rPr>
              <w:t>32</w:t>
            </w:r>
            <w:r>
              <w:rPr>
                <w:rFonts w:hint="default" w:ascii="Times New Roman" w:hAnsi="Times New Roman" w:eastAsia="方正仿宋_GBK" w:cs="Times New Roman"/>
                <w:snapToGrid/>
                <w:sz w:val="21"/>
                <w:szCs w:val="21"/>
                <w:lang w:val="en-US" w:eastAsia="zh-CN"/>
              </w:rPr>
              <w:t>分</w:t>
            </w:r>
          </w:p>
        </w:tc>
        <w:tc>
          <w:tcPr>
            <w:tcW w:w="3638" w:type="pct"/>
            <w:tcBorders>
              <w:left w:val="nil"/>
            </w:tcBorders>
            <w:noWrap w:val="0"/>
            <w:vAlign w:val="top"/>
          </w:tcPr>
          <w:p>
            <w:pPr>
              <w:keepNext w:val="0"/>
              <w:keepLines w:val="0"/>
              <w:pageBreakBefore w:val="0"/>
              <w:widowControl/>
              <w:kinsoku/>
              <w:wordWrap/>
              <w:overflowPunct/>
              <w:topLinePunct w:val="0"/>
              <w:autoSpaceDE/>
              <w:autoSpaceDN/>
              <w:bidi w:val="0"/>
              <w:adjustRightInd/>
              <w:snapToGrid/>
              <w:spacing w:afterLines="0" w:afterAutospacing="0" w:line="280" w:lineRule="exact"/>
              <w:textAlignment w:val="auto"/>
              <w:rPr>
                <w:rFonts w:hint="default" w:ascii="Times New Roman" w:hAnsi="Times New Roman" w:eastAsia="仿宋" w:cs="Times New Roman"/>
                <w:color w:val="000000"/>
                <w:sz w:val="21"/>
                <w:szCs w:val="21"/>
              </w:rPr>
            </w:pPr>
            <w:r>
              <w:rPr>
                <w:rFonts w:hint="eastAsia" w:ascii="Times New Roman" w:hAnsi="Times New Roman" w:eastAsia="方正仿宋_GBK" w:cs="Times New Roman"/>
                <w:snapToGrid/>
                <w:sz w:val="21"/>
                <w:szCs w:val="21"/>
                <w:lang w:val="en-US" w:eastAsia="zh-CN"/>
              </w:rPr>
              <w:t>1.</w:t>
            </w: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snapToGrid/>
                <w:sz w:val="21"/>
                <w:szCs w:val="21"/>
              </w:rPr>
              <w:t>根据本项目的具体情况提供针对本项目实施方案</w:t>
            </w:r>
            <w:r>
              <w:rPr>
                <w:rFonts w:hint="eastAsia" w:ascii="Times New Roman" w:hAnsi="Times New Roman" w:eastAsia="方正仿宋_GBK" w:cs="Times New Roman"/>
                <w:snapToGrid/>
                <w:sz w:val="21"/>
                <w:szCs w:val="21"/>
                <w:lang w:eastAsia="zh-CN"/>
              </w:rPr>
              <w:t>：</w:t>
            </w:r>
            <w:r>
              <w:rPr>
                <w:rFonts w:hint="default" w:ascii="Times New Roman" w:hAnsi="Times New Roman" w:eastAsia="方正仿宋_GBK" w:cs="Times New Roman"/>
                <w:snapToGrid/>
                <w:sz w:val="21"/>
                <w:szCs w:val="21"/>
              </w:rPr>
              <w:t>①包含合理的供货、运输、安装</w:t>
            </w:r>
            <w:r>
              <w:rPr>
                <w:rFonts w:hint="default" w:ascii="Times New Roman" w:hAnsi="Times New Roman" w:eastAsia="方正仿宋_GBK" w:cs="Times New Roman"/>
                <w:snapToGrid/>
                <w:sz w:val="21"/>
                <w:szCs w:val="21"/>
                <w:lang w:val="en-US" w:eastAsia="zh-CN"/>
              </w:rPr>
              <w:t>等</w:t>
            </w:r>
            <w:r>
              <w:rPr>
                <w:rFonts w:hint="default" w:ascii="Times New Roman" w:hAnsi="Times New Roman" w:eastAsia="方正仿宋_GBK" w:cs="Times New Roman"/>
                <w:snapToGrid/>
                <w:sz w:val="21"/>
                <w:szCs w:val="21"/>
              </w:rPr>
              <w:t>方案</w:t>
            </w:r>
            <w:r>
              <w:rPr>
                <w:rFonts w:hint="default" w:ascii="Times New Roman" w:hAnsi="Times New Roman" w:eastAsia="方正仿宋_GBK" w:cs="Times New Roman"/>
                <w:snapToGrid/>
                <w:sz w:val="21"/>
                <w:szCs w:val="21"/>
                <w:lang w:eastAsia="zh-CN"/>
              </w:rPr>
              <w:t>；</w:t>
            </w:r>
            <w:r>
              <w:rPr>
                <w:rFonts w:hint="default" w:ascii="Times New Roman" w:hAnsi="Times New Roman" w:eastAsia="方正仿宋_GBK" w:cs="Times New Roman"/>
                <w:snapToGrid/>
                <w:sz w:val="21"/>
                <w:szCs w:val="21"/>
              </w:rPr>
              <w:t>②</w:t>
            </w: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snapToGrid/>
                <w:sz w:val="21"/>
                <w:szCs w:val="21"/>
              </w:rPr>
              <w:t>提供针对本项目的质量保证、安全保障措施</w:t>
            </w:r>
            <w:r>
              <w:rPr>
                <w:rFonts w:hint="default" w:ascii="Times New Roman" w:hAnsi="Times New Roman" w:eastAsia="方正仿宋_GBK" w:cs="Times New Roman"/>
                <w:snapToGrid/>
                <w:sz w:val="21"/>
                <w:szCs w:val="21"/>
                <w:lang w:eastAsia="zh-CN"/>
              </w:rPr>
              <w:t>；</w:t>
            </w:r>
            <w:r>
              <w:rPr>
                <w:rFonts w:hint="default" w:ascii="Times New Roman" w:hAnsi="Times New Roman" w:eastAsia="方正仿宋_GBK" w:cs="Times New Roman"/>
                <w:snapToGrid/>
                <w:sz w:val="21"/>
                <w:szCs w:val="21"/>
              </w:rPr>
              <w:t>③</w:t>
            </w: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snapToGrid/>
                <w:sz w:val="21"/>
                <w:szCs w:val="21"/>
              </w:rPr>
              <w:t>提供售后服务</w:t>
            </w:r>
            <w:r>
              <w:rPr>
                <w:rFonts w:hint="default" w:ascii="Times New Roman" w:hAnsi="Times New Roman" w:eastAsia="方正仿宋_GBK" w:cs="Times New Roman"/>
                <w:snapToGrid/>
                <w:sz w:val="21"/>
                <w:szCs w:val="21"/>
                <w:lang w:val="en-US" w:eastAsia="zh-CN"/>
              </w:rPr>
              <w:t>方案</w:t>
            </w:r>
            <w:r>
              <w:rPr>
                <w:rFonts w:hint="default" w:ascii="Times New Roman" w:hAnsi="Times New Roman" w:eastAsia="方正仿宋_GBK" w:cs="Times New Roman"/>
                <w:snapToGrid/>
                <w:sz w:val="21"/>
                <w:szCs w:val="21"/>
              </w:rPr>
              <w:t>：内容包括售后服务承诺及保修细则、服务质量保证标准、售后服务工具配备、优惠条件承诺及服务体系说明。</w:t>
            </w:r>
            <w:r>
              <w:rPr>
                <w:rFonts w:hint="default" w:ascii="Times New Roman" w:hAnsi="Times New Roman" w:eastAsia="方正仿宋_GBK" w:cs="Times New Roman"/>
                <w:sz w:val="21"/>
                <w:szCs w:val="21"/>
              </w:rPr>
              <w:t>完</w:t>
            </w:r>
            <w:r>
              <w:rPr>
                <w:rFonts w:hint="default" w:ascii="Times New Roman" w:hAnsi="Times New Roman" w:eastAsia="仿宋" w:cs="Times New Roman"/>
                <w:color w:val="000000"/>
                <w:sz w:val="21"/>
                <w:szCs w:val="21"/>
              </w:rPr>
              <w:t>整提供上述</w:t>
            </w:r>
            <w:r>
              <w:rPr>
                <w:rFonts w:hint="eastAsia" w:ascii="Times New Roman" w:hAnsi="Times New Roman" w:eastAsia="仿宋" w:cs="Times New Roman"/>
                <w:color w:val="000000"/>
                <w:sz w:val="21"/>
                <w:szCs w:val="21"/>
                <w:lang w:val="en-US" w:eastAsia="zh-CN"/>
              </w:rPr>
              <w:t>3</w:t>
            </w:r>
            <w:r>
              <w:rPr>
                <w:rFonts w:hint="default" w:ascii="Times New Roman" w:hAnsi="Times New Roman" w:eastAsia="仿宋" w:cs="Times New Roman"/>
                <w:color w:val="000000"/>
                <w:sz w:val="21"/>
                <w:szCs w:val="21"/>
              </w:rPr>
              <w:t>项内容的得</w:t>
            </w:r>
            <w:r>
              <w:rPr>
                <w:rFonts w:hint="eastAsia" w:ascii="Times New Roman" w:hAnsi="Times New Roman" w:eastAsia="仿宋" w:cs="Times New Roman"/>
                <w:color w:val="000000"/>
                <w:sz w:val="21"/>
                <w:szCs w:val="21"/>
                <w:lang w:val="en-US" w:eastAsia="zh-CN"/>
              </w:rPr>
              <w:t>24</w:t>
            </w:r>
            <w:r>
              <w:rPr>
                <w:rFonts w:hint="default" w:ascii="Times New Roman" w:hAnsi="Times New Roman" w:eastAsia="仿宋" w:cs="Times New Roman"/>
                <w:color w:val="000000"/>
                <w:sz w:val="21"/>
                <w:szCs w:val="21"/>
              </w:rPr>
              <w:t>分；每有一项未提供扣</w:t>
            </w:r>
            <w:r>
              <w:rPr>
                <w:rFonts w:hint="eastAsia" w:ascii="Times New Roman" w:hAnsi="Times New Roman" w:eastAsia="仿宋" w:cs="Times New Roman"/>
                <w:color w:val="000000"/>
                <w:sz w:val="21"/>
                <w:szCs w:val="21"/>
                <w:lang w:val="en-US" w:eastAsia="zh-CN"/>
              </w:rPr>
              <w:t>8</w:t>
            </w:r>
            <w:r>
              <w:rPr>
                <w:rFonts w:hint="default" w:ascii="Times New Roman" w:hAnsi="Times New Roman" w:eastAsia="仿宋" w:cs="Times New Roman"/>
                <w:color w:val="000000"/>
                <w:sz w:val="21"/>
                <w:szCs w:val="21"/>
              </w:rPr>
              <w:t>分，扣完为止；每有一处有缺陷扣</w:t>
            </w:r>
            <w:r>
              <w:rPr>
                <w:rFonts w:hint="eastAsia" w:ascii="Times New Roman" w:hAnsi="Times New Roman" w:eastAsia="仿宋" w:cs="Times New Roman"/>
                <w:color w:val="000000"/>
                <w:sz w:val="21"/>
                <w:szCs w:val="21"/>
                <w:lang w:val="en-US" w:eastAsia="zh-CN"/>
              </w:rPr>
              <w:t>4</w:t>
            </w:r>
            <w:r>
              <w:rPr>
                <w:rFonts w:hint="default" w:ascii="Times New Roman" w:hAnsi="Times New Roman" w:eastAsia="仿宋" w:cs="Times New Roman"/>
                <w:color w:val="000000"/>
                <w:sz w:val="21"/>
                <w:szCs w:val="21"/>
              </w:rPr>
              <w:t>分，扣完为止。</w:t>
            </w:r>
          </w:p>
          <w:p>
            <w:pP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缺陷是指：存在不适用项目实际情况的情形、凭空编造、套用其他项目方案、内容前后不一致、前后逻辑错误、涉及的规范及标准错误、地点区域错误、内容缺失、不符合采购需求、不可能实现的情形等任意一种情形）</w:t>
            </w:r>
          </w:p>
          <w:p>
            <w:pPr>
              <w:numPr>
                <w:ilvl w:val="0"/>
                <w:numId w:val="0"/>
              </w:numPr>
              <w:rPr>
                <w:rFonts w:hint="default" w:ascii="Times New Roman" w:hAnsi="Times New Roman" w:eastAsia="方正仿宋_GBK" w:cs="Times New Roman"/>
                <w:kern w:val="2"/>
                <w:sz w:val="21"/>
                <w:szCs w:val="21"/>
              </w:rPr>
            </w:pPr>
            <w:r>
              <w:rPr>
                <w:rFonts w:hint="eastAsia" w:ascii="Times New Roman" w:hAnsi="Times New Roman" w:eastAsia="方正仿宋_GBK" w:cs="Times New Roman"/>
                <w:snapToGrid/>
                <w:sz w:val="21"/>
                <w:szCs w:val="21"/>
                <w:highlight w:val="none"/>
                <w:lang w:val="en-US" w:eastAsia="zh-CN"/>
              </w:rPr>
              <w:t>2.投标人</w:t>
            </w:r>
            <w:r>
              <w:rPr>
                <w:rFonts w:hint="default" w:ascii="Times New Roman" w:hAnsi="Times New Roman" w:eastAsia="方正仿宋_GBK" w:cs="Times New Roman"/>
                <w:kern w:val="2"/>
                <w:sz w:val="21"/>
                <w:szCs w:val="21"/>
                <w:lang w:val="en-US" w:eastAsia="zh-CN"/>
              </w:rPr>
              <w:t>需</w:t>
            </w:r>
            <w:r>
              <w:rPr>
                <w:rFonts w:hint="default" w:ascii="Times New Roman" w:hAnsi="Times New Roman" w:eastAsia="方正仿宋_GBK" w:cs="Times New Roman"/>
                <w:kern w:val="2"/>
                <w:sz w:val="21"/>
                <w:szCs w:val="21"/>
              </w:rPr>
              <w:t>对现场环境进行踏勘，</w:t>
            </w:r>
            <w:r>
              <w:rPr>
                <w:rFonts w:hint="default" w:ascii="Times New Roman" w:hAnsi="Times New Roman" w:eastAsia="方正仿宋_GBK" w:cs="Times New Roman"/>
                <w:kern w:val="2"/>
                <w:sz w:val="21"/>
                <w:szCs w:val="21"/>
                <w:lang w:val="en-US" w:eastAsia="zh-CN"/>
              </w:rPr>
              <w:t>提供</w:t>
            </w:r>
            <w:r>
              <w:rPr>
                <w:rFonts w:hint="default" w:ascii="Times New Roman" w:hAnsi="Times New Roman" w:eastAsia="方正仿宋_GBK" w:cs="Times New Roman"/>
                <w:kern w:val="2"/>
                <w:sz w:val="21"/>
                <w:szCs w:val="21"/>
                <w:lang w:eastAsia="zh-CN"/>
              </w:rPr>
              <w:t>我</w:t>
            </w:r>
            <w:r>
              <w:rPr>
                <w:rFonts w:hint="default" w:ascii="Times New Roman" w:hAnsi="Times New Roman" w:eastAsia="方正仿宋_GBK" w:cs="Times New Roman"/>
                <w:kern w:val="2"/>
                <w:sz w:val="21"/>
                <w:szCs w:val="21"/>
                <w:lang w:val="en-US" w:eastAsia="zh-CN"/>
              </w:rPr>
              <w:t>院指定区域</w:t>
            </w:r>
            <w:r>
              <w:rPr>
                <w:rFonts w:hint="default" w:ascii="Times New Roman" w:hAnsi="Times New Roman" w:eastAsia="方正仿宋_GBK" w:cs="Times New Roman"/>
                <w:kern w:val="2"/>
                <w:sz w:val="21"/>
                <w:szCs w:val="21"/>
              </w:rPr>
              <w:t>“</w:t>
            </w:r>
            <w:r>
              <w:rPr>
                <w:rFonts w:hint="default" w:ascii="Times New Roman" w:hAnsi="Times New Roman" w:eastAsia="方正仿宋_GBK" w:cs="Times New Roman"/>
                <w:kern w:val="2"/>
                <w:sz w:val="21"/>
                <w:szCs w:val="21"/>
                <w:lang w:val="en-US" w:eastAsia="zh-CN"/>
              </w:rPr>
              <w:t>候诊椅</w:t>
            </w:r>
            <w:r>
              <w:rPr>
                <w:rFonts w:hint="default" w:ascii="Times New Roman" w:hAnsi="Times New Roman" w:eastAsia="方正仿宋_GBK" w:cs="Times New Roman"/>
                <w:kern w:val="2"/>
                <w:sz w:val="21"/>
                <w:szCs w:val="21"/>
              </w:rPr>
              <w:t>”</w:t>
            </w:r>
            <w:r>
              <w:rPr>
                <w:rFonts w:hint="default" w:ascii="Times New Roman" w:hAnsi="Times New Roman" w:eastAsia="方正仿宋_GBK" w:cs="Times New Roman"/>
                <w:kern w:val="2"/>
                <w:sz w:val="21"/>
                <w:szCs w:val="21"/>
                <w:lang w:val="en-US" w:eastAsia="zh-CN"/>
              </w:rPr>
              <w:t>摆放设计图或概念图</w:t>
            </w:r>
            <w:r>
              <w:rPr>
                <w:rFonts w:hint="default" w:ascii="Times New Roman" w:hAnsi="Times New Roman" w:eastAsia="方正仿宋_GBK" w:cs="Times New Roman"/>
                <w:kern w:val="2"/>
                <w:sz w:val="21"/>
                <w:szCs w:val="21"/>
              </w:rPr>
              <w:t>。</w:t>
            </w:r>
            <w:r>
              <w:rPr>
                <w:rFonts w:hint="default" w:ascii="Times New Roman" w:hAnsi="Times New Roman" w:eastAsia="方正仿宋_GBK" w:cs="Times New Roman"/>
                <w:kern w:val="2"/>
                <w:sz w:val="21"/>
                <w:szCs w:val="21"/>
                <w:lang w:val="en-US" w:eastAsia="zh-CN"/>
              </w:rPr>
              <w:t>设计方案</w:t>
            </w:r>
            <w:r>
              <w:rPr>
                <w:rFonts w:hint="default" w:ascii="Times New Roman" w:hAnsi="Times New Roman" w:eastAsia="方正仿宋_GBK" w:cs="Times New Roman"/>
                <w:kern w:val="2"/>
                <w:sz w:val="21"/>
                <w:szCs w:val="21"/>
              </w:rPr>
              <w:t>需具有观赏性</w:t>
            </w:r>
            <w:r>
              <w:rPr>
                <w:rFonts w:hint="default" w:ascii="Times New Roman" w:hAnsi="Times New Roman" w:eastAsia="方正仿宋_GBK" w:cs="Times New Roman"/>
                <w:kern w:val="2"/>
                <w:sz w:val="21"/>
                <w:szCs w:val="21"/>
                <w:lang w:eastAsia="zh-CN"/>
              </w:rPr>
              <w:t>、</w:t>
            </w:r>
            <w:r>
              <w:rPr>
                <w:rFonts w:hint="default" w:ascii="Times New Roman" w:hAnsi="Times New Roman" w:eastAsia="方正仿宋_GBK" w:cs="Times New Roman"/>
                <w:kern w:val="2"/>
                <w:sz w:val="21"/>
                <w:szCs w:val="21"/>
              </w:rPr>
              <w:t>实用性，契合龙泉驿区妇幼保健院的意图和需求</w:t>
            </w:r>
            <w:r>
              <w:rPr>
                <w:rFonts w:hint="default" w:ascii="Times New Roman" w:hAnsi="Times New Roman" w:eastAsia="方正仿宋_GBK" w:cs="Times New Roman"/>
                <w:kern w:val="2"/>
                <w:sz w:val="21"/>
                <w:szCs w:val="21"/>
                <w:lang w:eastAsia="zh-CN"/>
              </w:rPr>
              <w:t>。</w:t>
            </w:r>
          </w:p>
          <w:p>
            <w:pPr>
              <w:widowControl/>
              <w:numPr>
                <w:ilvl w:val="0"/>
                <w:numId w:val="0"/>
              </w:numPr>
              <w:autoSpaceDE w:val="0"/>
              <w:autoSpaceDN w:val="0"/>
              <w:adjustRightInd w:val="0"/>
              <w:spacing w:line="240" w:lineRule="auto"/>
              <w:jc w:val="left"/>
              <w:textAlignment w:val="baseline"/>
              <w:rPr>
                <w:rFonts w:hint="default" w:ascii="Times New Roman" w:hAnsi="Times New Roman" w:eastAsia="方正仿宋_GBK" w:cs="Times New Roman"/>
                <w:sz w:val="21"/>
                <w:szCs w:val="21"/>
              </w:rPr>
            </w:pPr>
            <w:r>
              <w:rPr>
                <w:rFonts w:hint="default" w:ascii="Times New Roman" w:hAnsi="Times New Roman" w:eastAsia="方正仿宋_GBK" w:cs="Times New Roman"/>
                <w:snapToGrid/>
                <w:sz w:val="21"/>
                <w:szCs w:val="21"/>
              </w:rPr>
              <w:t>①</w:t>
            </w:r>
            <w:r>
              <w:rPr>
                <w:rFonts w:hint="default" w:ascii="Times New Roman" w:hAnsi="Times New Roman" w:eastAsia="方正仿宋_GBK" w:cs="Times New Roman"/>
                <w:sz w:val="21"/>
                <w:szCs w:val="21"/>
              </w:rPr>
              <w:t>设计理念、</w:t>
            </w:r>
            <w:r>
              <w:rPr>
                <w:rFonts w:hint="eastAsia" w:ascii="Times New Roman" w:hAnsi="Times New Roman" w:eastAsia="方正仿宋_GBK" w:cs="Times New Roman"/>
                <w:sz w:val="21"/>
                <w:szCs w:val="21"/>
                <w:lang w:val="en-US" w:eastAsia="zh-CN"/>
              </w:rPr>
              <w:t>色彩搭配，</w:t>
            </w:r>
            <w:r>
              <w:rPr>
                <w:rFonts w:hint="default" w:ascii="Times New Roman" w:hAnsi="Times New Roman" w:eastAsia="方正仿宋_GBK" w:cs="Times New Roman"/>
                <w:sz w:val="21"/>
                <w:szCs w:val="21"/>
              </w:rPr>
              <w:t>具有很强的可实施性的得</w:t>
            </w:r>
            <w:r>
              <w:rPr>
                <w:rFonts w:hint="eastAsia" w:ascii="Times New Roman" w:hAnsi="Times New Roman" w:eastAsia="方正仿宋_GBK" w:cs="Times New Roman"/>
                <w:sz w:val="21"/>
                <w:szCs w:val="21"/>
                <w:lang w:val="en-US" w:eastAsia="zh-CN"/>
              </w:rPr>
              <w:t>6-8</w:t>
            </w:r>
            <w:r>
              <w:rPr>
                <w:rFonts w:hint="default" w:ascii="Times New Roman" w:hAnsi="Times New Roman" w:eastAsia="方正仿宋_GBK" w:cs="Times New Roman"/>
                <w:sz w:val="21"/>
                <w:szCs w:val="21"/>
              </w:rPr>
              <w:t>分。</w:t>
            </w:r>
          </w:p>
          <w:p>
            <w:pPr>
              <w:widowControl/>
              <w:numPr>
                <w:ilvl w:val="0"/>
                <w:numId w:val="0"/>
              </w:numPr>
              <w:autoSpaceDE w:val="0"/>
              <w:autoSpaceDN w:val="0"/>
              <w:adjustRightInd w:val="0"/>
              <w:spacing w:line="240" w:lineRule="auto"/>
              <w:jc w:val="left"/>
              <w:textAlignment w:val="baseline"/>
              <w:rPr>
                <w:rFonts w:hint="default" w:ascii="Times New Roman" w:hAnsi="Times New Roman" w:eastAsia="方正仿宋_GBK" w:cs="Times New Roman"/>
                <w:sz w:val="21"/>
                <w:szCs w:val="21"/>
              </w:rPr>
            </w:pPr>
            <w:r>
              <w:rPr>
                <w:rFonts w:hint="eastAsia" w:ascii="仿宋" w:hAnsi="仿宋" w:eastAsia="仿宋"/>
                <w:color w:val="000000"/>
                <w:sz w:val="21"/>
                <w:szCs w:val="21"/>
              </w:rPr>
              <w:t>②</w:t>
            </w:r>
            <w:r>
              <w:rPr>
                <w:rFonts w:hint="default" w:ascii="Times New Roman" w:hAnsi="Times New Roman" w:eastAsia="方正仿宋_GBK" w:cs="Times New Roman"/>
                <w:sz w:val="21"/>
                <w:szCs w:val="21"/>
              </w:rPr>
              <w:t>设计理念、</w:t>
            </w:r>
            <w:r>
              <w:rPr>
                <w:rFonts w:hint="eastAsia" w:ascii="Times New Roman" w:hAnsi="Times New Roman" w:eastAsia="方正仿宋_GBK" w:cs="Times New Roman"/>
                <w:sz w:val="21"/>
                <w:szCs w:val="21"/>
                <w:lang w:val="en-US" w:eastAsia="zh-CN"/>
              </w:rPr>
              <w:t>色彩搭配</w:t>
            </w:r>
            <w:r>
              <w:rPr>
                <w:rFonts w:hint="default" w:ascii="Times New Roman" w:hAnsi="Times New Roman" w:eastAsia="方正仿宋_GBK" w:cs="Times New Roman"/>
                <w:sz w:val="21"/>
                <w:szCs w:val="21"/>
              </w:rPr>
              <w:t>；设计一般</w:t>
            </w:r>
            <w:r>
              <w:rPr>
                <w:rFonts w:hint="eastAsia"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具有可实施性的得</w:t>
            </w:r>
            <w:r>
              <w:rPr>
                <w:rFonts w:hint="eastAsia" w:ascii="Times New Roman" w:hAnsi="Times New Roman" w:eastAsia="方正仿宋_GBK" w:cs="Times New Roman"/>
                <w:sz w:val="21"/>
                <w:szCs w:val="21"/>
                <w:lang w:val="en-US" w:eastAsia="zh-CN"/>
              </w:rPr>
              <w:t>3-6</w:t>
            </w:r>
            <w:r>
              <w:rPr>
                <w:rFonts w:hint="default" w:ascii="Times New Roman" w:hAnsi="Times New Roman" w:eastAsia="方正仿宋_GBK" w:cs="Times New Roman"/>
                <w:sz w:val="21"/>
                <w:szCs w:val="21"/>
              </w:rPr>
              <w:t>分；</w:t>
            </w:r>
          </w:p>
          <w:p>
            <w:pPr>
              <w:widowControl/>
              <w:numPr>
                <w:ilvl w:val="0"/>
                <w:numId w:val="0"/>
              </w:numPr>
              <w:autoSpaceDE w:val="0"/>
              <w:autoSpaceDN w:val="0"/>
              <w:adjustRightInd w:val="0"/>
              <w:spacing w:line="240" w:lineRule="auto"/>
              <w:jc w:val="left"/>
              <w:textAlignment w:val="baseline"/>
              <w:rPr>
                <w:rFonts w:hint="default" w:ascii="Times New Roman" w:hAnsi="Times New Roman" w:eastAsia="方正仿宋_GBK" w:cs="Times New Roman"/>
                <w:sz w:val="21"/>
                <w:szCs w:val="21"/>
              </w:rPr>
            </w:pPr>
            <w:r>
              <w:rPr>
                <w:rFonts w:hint="eastAsia" w:ascii="仿宋" w:hAnsi="仿宋" w:eastAsia="仿宋"/>
                <w:color w:val="000000"/>
                <w:sz w:val="21"/>
                <w:szCs w:val="21"/>
              </w:rPr>
              <w:t>③</w:t>
            </w:r>
            <w:r>
              <w:rPr>
                <w:rFonts w:hint="default" w:ascii="Times New Roman" w:hAnsi="Times New Roman" w:eastAsia="方正仿宋_GBK" w:cs="Times New Roman"/>
                <w:sz w:val="21"/>
                <w:szCs w:val="21"/>
              </w:rPr>
              <w:t>设计不能体现理念、设计合理</w:t>
            </w:r>
            <w:r>
              <w:rPr>
                <w:rFonts w:hint="eastAsia"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实施性一般得</w:t>
            </w:r>
            <w:r>
              <w:rPr>
                <w:rFonts w:hint="eastAsia" w:ascii="Times New Roman" w:hAnsi="Times New Roman" w:eastAsia="方正仿宋_GBK" w:cs="Times New Roman"/>
                <w:sz w:val="21"/>
                <w:szCs w:val="21"/>
                <w:lang w:val="en-US" w:eastAsia="zh-CN"/>
              </w:rPr>
              <w:t>1-3</w:t>
            </w:r>
            <w:r>
              <w:rPr>
                <w:rFonts w:hint="default" w:ascii="Times New Roman" w:hAnsi="Times New Roman" w:eastAsia="方正仿宋_GBK" w:cs="Times New Roman"/>
                <w:sz w:val="21"/>
                <w:szCs w:val="21"/>
              </w:rPr>
              <w:t>分；</w:t>
            </w:r>
          </w:p>
          <w:p>
            <w:pPr>
              <w:widowControl/>
              <w:numPr>
                <w:ilvl w:val="0"/>
                <w:numId w:val="0"/>
              </w:numPr>
              <w:autoSpaceDE w:val="0"/>
              <w:autoSpaceDN w:val="0"/>
              <w:adjustRightInd w:val="0"/>
              <w:spacing w:line="240" w:lineRule="auto"/>
              <w:jc w:val="left"/>
              <w:textAlignment w:val="baseline"/>
              <w:rPr>
                <w:rFonts w:hint="default" w:ascii="Times New Roman" w:hAnsi="Times New Roman" w:eastAsia="方正仿宋_GBK" w:cs="Times New Roman"/>
                <w:sz w:val="21"/>
                <w:szCs w:val="21"/>
                <w:lang w:val="en-US" w:eastAsia="zh-CN"/>
              </w:rPr>
            </w:pPr>
            <w:r>
              <w:rPr>
                <w:rFonts w:hint="eastAsia" w:ascii="Times New Roman" w:hAnsi="Times New Roman" w:eastAsia="方正仿宋_GBK" w:cs="Times New Roman"/>
                <w:sz w:val="21"/>
                <w:szCs w:val="21"/>
                <w:lang w:val="en-US" w:eastAsia="zh-CN"/>
              </w:rPr>
              <w:t>④未提供不得分。</w:t>
            </w:r>
          </w:p>
          <w:p>
            <w:pPr>
              <w:keepNext w:val="0"/>
              <w:keepLines w:val="0"/>
              <w:pageBreakBefore w:val="0"/>
              <w:widowControl/>
              <w:kinsoku/>
              <w:wordWrap/>
              <w:overflowPunct/>
              <w:topLinePunct w:val="0"/>
              <w:autoSpaceDE/>
              <w:autoSpaceDN/>
              <w:bidi w:val="0"/>
              <w:adjustRightInd/>
              <w:snapToGrid/>
              <w:spacing w:after="100" w:afterLines="0" w:afterAutospacing="1" w:line="288" w:lineRule="auto"/>
              <w:ind w:firstLine="0" w:firstLineChars="0"/>
              <w:jc w:val="both"/>
              <w:textAlignment w:val="auto"/>
              <w:rPr>
                <w:rFonts w:hint="default" w:ascii="Times New Roman" w:hAnsi="Times New Roman" w:eastAsia="方正仿宋_GBK" w:cs="Times New Roman"/>
                <w:snapToGrid/>
                <w:sz w:val="21"/>
                <w:szCs w:val="21"/>
                <w:lang w:val="en-US" w:eastAsia="zh-CN"/>
              </w:rPr>
            </w:pPr>
          </w:p>
        </w:tc>
        <w:tc>
          <w:tcPr>
            <w:tcW w:w="347" w:type="pct"/>
            <w:tcBorders>
              <w:left w:val="nil"/>
            </w:tcBorders>
            <w:noWrap w:val="0"/>
            <w:vAlign w:val="top"/>
          </w:tcPr>
          <w:p>
            <w:pPr>
              <w:spacing w:line="360" w:lineRule="auto"/>
              <w:rPr>
                <w:rFonts w:hint="default" w:ascii="Times New Roman" w:hAnsi="Times New Roman" w:eastAsia="宋体" w:cs="Times New Roman"/>
                <w:color w:val="000000"/>
                <w:kern w:val="0"/>
                <w:sz w:val="21"/>
                <w:szCs w:val="21"/>
              </w:rPr>
            </w:pP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24A5716-7946-48DD-B237-E76893D34129}"/>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embedRegular r:id="rId2" w:fontKey="{E2F17909-7EB2-4688-95FE-F948BE9C1CBC}"/>
  </w:font>
  <w:font w:name="方正仿宋_GBK">
    <w:panose1 w:val="02000000000000000000"/>
    <w:charset w:val="86"/>
    <w:family w:val="auto"/>
    <w:pitch w:val="default"/>
    <w:sig w:usb0="A00002BF" w:usb1="38CF7CFA" w:usb2="00082016" w:usb3="00000000" w:csb0="00040001" w:csb1="00000000"/>
    <w:embedRegular r:id="rId3" w:fontKey="{6202C0D5-23CE-446D-8733-05EE9C338203}"/>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jlkYjNmNmFjZDMwZDk4ODY1Yzg4N2I5NTM0OGEifQ=="/>
  </w:docVars>
  <w:rsids>
    <w:rsidRoot w:val="5BD0778A"/>
    <w:rsid w:val="5BD0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after="50" w:afterLines="50" w:line="312" w:lineRule="auto"/>
      <w:jc w:val="both"/>
    </w:pPr>
    <w:rPr>
      <w:rFonts w:eastAsia="微软雅黑" w:asciiTheme="minorAscii" w:hAnsiTheme="minorAscii" w:cstheme="minorBidi"/>
      <w:snapToGrid/>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2024-06-27T03:53:00Z</dcterms:created>
  <dc:creator>邱玥</dc:creator>
  <cp:lastModifiedBy>邱玥</cp:lastModifiedBy>
  <dcterms:modified xsi:type="dcterms:W3CDTF">2024-06-27T03:53:50Z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69EF496A849545F2804AF830F9DB6BA1_11</vt:lpwstr>
  </property>
</Properties>
</file>