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0"/>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pPr>
        <w:spacing w:line="44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40" w:lineRule="exact"/>
        <w:ind w:left="0" w:leftChars="0" w:right="0" w:rightChars="0" w:firstLine="482" w:firstLineChars="200"/>
        <w:jc w:val="lef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一、项目简介</w:t>
      </w:r>
    </w:p>
    <w:p>
      <w:pPr>
        <w:keepNext w:val="0"/>
        <w:keepLines w:val="0"/>
        <w:pageBreakBefore w:val="0"/>
        <w:widowControl w:val="0"/>
        <w:numPr>
          <w:ilvl w:val="-1"/>
          <w:numId w:val="0"/>
        </w:numPr>
        <w:kinsoku/>
        <w:wordWrap/>
        <w:overflowPunct/>
        <w:topLinePunct w:val="0"/>
        <w:autoSpaceDE/>
        <w:autoSpaceDN/>
        <w:bidi w:val="0"/>
        <w:adjustRightInd/>
        <w:snapToGrid/>
        <w:spacing w:before="0" w:line="44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医院于2018年创建国家节约型公共机构示范单位，按照《国家级节约型公共机构示范单位复核工作》的要求，为顺利完成国家级节约型公共机构示范单位复核工作，拟选择一名供应商开展相关服务工作。</w:t>
      </w:r>
    </w:p>
    <w:p>
      <w:pPr>
        <w:keepNext w:val="0"/>
        <w:keepLines w:val="0"/>
        <w:pageBreakBefore w:val="0"/>
        <w:widowControl w:val="0"/>
        <w:numPr>
          <w:ilvl w:val="-1"/>
          <w:numId w:val="0"/>
        </w:numPr>
        <w:kinsoku/>
        <w:wordWrap/>
        <w:overflowPunct/>
        <w:topLinePunct w:val="0"/>
        <w:autoSpaceDE/>
        <w:autoSpaceDN/>
        <w:bidi w:val="0"/>
        <w:adjustRightInd/>
        <w:snapToGrid/>
        <w:spacing w:before="0" w:line="440" w:lineRule="exact"/>
        <w:ind w:left="0" w:leftChars="0" w:right="0" w:rightChars="0" w:firstLine="482" w:firstLineChars="200"/>
        <w:jc w:val="left"/>
        <w:textAlignment w:val="auto"/>
        <w:rPr>
          <w:rFonts w:hint="eastAsia" w:ascii="宋体" w:hAnsi="宋体" w:eastAsia="宋体" w:cs="宋体"/>
          <w:b/>
          <w:bCs/>
          <w:color w:val="000000" w:themeColor="text1"/>
          <w:sz w:val="24"/>
          <w:szCs w:val="24"/>
          <w:highlight w:val="yellow"/>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二、技术服务要求：</w:t>
      </w:r>
    </w:p>
    <w:p>
      <w:pPr>
        <w:pStyle w:val="2"/>
        <w:pageBreakBefore w:val="0"/>
        <w:widowControl w:val="0"/>
        <w:kinsoku/>
        <w:wordWrap/>
        <w:overflowPunct/>
        <w:topLinePunct w:val="0"/>
        <w:autoSpaceDE/>
        <w:autoSpaceDN/>
        <w:bidi w:val="0"/>
        <w:adjustRightInd/>
        <w:snapToGrid/>
        <w:spacing w:before="0" w:after="0" w:line="440" w:lineRule="exact"/>
        <w:textAlignment w:val="auto"/>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1.碳排放量统计核算</w:t>
      </w:r>
    </w:p>
    <w:p>
      <w:pPr>
        <w:keepNext w:val="0"/>
        <w:keepLines w:val="0"/>
        <w:pageBreakBefore w:val="0"/>
        <w:widowControl w:val="0"/>
        <w:numPr>
          <w:ilvl w:val="-1"/>
          <w:numId w:val="0"/>
        </w:numPr>
        <w:kinsoku/>
        <w:wordWrap/>
        <w:overflowPunct/>
        <w:topLinePunct w:val="0"/>
        <w:autoSpaceDE/>
        <w:autoSpaceDN/>
        <w:bidi w:val="0"/>
        <w:adjustRightInd/>
        <w:snapToGrid/>
        <w:spacing w:before="0" w:line="44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依据公共机构碳排放核算相关规定，对本单位2023年度碳排放量进行统计核算。具体步骤如下：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sz w:val="24"/>
          <w:szCs w:val="24"/>
          <w:highlight w:val="none"/>
          <w:lang w:val="en-US" w:eastAsia="zh-CN"/>
          <w14:textFill>
            <w14:solidFill>
              <w14:schemeClr w14:val="tx1"/>
            </w14:solidFill>
          </w14:textFill>
        </w:rPr>
        <w:t>数据收集与测量：收集成都市龙泉驿区妇幼保健院各项活动的全面数据，包括能源使用、生产过程、运输等方面。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lang w:val="en-US" w:eastAsia="zh-CN"/>
          <w14:textFill>
            <w14:solidFill>
              <w14:schemeClr w14:val="tx1"/>
            </w14:solidFill>
          </w14:textFill>
        </w:rPr>
        <w:t>碳排放因子的确定：依托公共机构碳排放核算指南的碳排放因子数据，确保了核算结果与现实情况高度一致。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sz w:val="24"/>
          <w:szCs w:val="24"/>
          <w:highlight w:val="none"/>
          <w:lang w:val="en-US" w:eastAsia="zh-CN"/>
          <w14:textFill>
            <w14:solidFill>
              <w14:schemeClr w14:val="tx1"/>
            </w14:solidFill>
          </w14:textFill>
        </w:rPr>
        <w:t>边界的设定：现场实地考察，明确定义碳核算的边界，包括直接排放和间接排放。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1.4</w:t>
      </w:r>
      <w:r>
        <w:rPr>
          <w:rFonts w:hint="eastAsia" w:ascii="宋体" w:hAnsi="宋体" w:eastAsia="宋体" w:cs="宋体"/>
          <w:color w:val="000000" w:themeColor="text1"/>
          <w:sz w:val="24"/>
          <w:szCs w:val="24"/>
          <w:highlight w:val="none"/>
          <w:lang w:val="en-US" w:eastAsia="zh-CN"/>
          <w14:textFill>
            <w14:solidFill>
              <w14:schemeClr w14:val="tx1"/>
            </w14:solidFill>
          </w14:textFill>
        </w:rPr>
        <w:t>数据报告与透明度。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color w:val="000000" w:themeColor="text1"/>
          <w:sz w:val="24"/>
          <w:szCs w:val="24"/>
          <w:highlight w:val="none"/>
          <w:lang w:val="en-US" w:eastAsia="zh-CN"/>
          <w14:textFill>
            <w14:solidFill>
              <w14:schemeClr w14:val="tx1"/>
            </w14:solidFill>
          </w14:textFill>
        </w:rPr>
        <w:t>出具碳排放报告2份。</w:t>
      </w:r>
    </w:p>
    <w:p>
      <w:pPr>
        <w:pStyle w:val="2"/>
        <w:pageBreakBefore w:val="0"/>
        <w:widowControl w:val="0"/>
        <w:kinsoku/>
        <w:wordWrap/>
        <w:overflowPunct/>
        <w:topLinePunct w:val="0"/>
        <w:autoSpaceDE/>
        <w:autoSpaceDN/>
        <w:bidi w:val="0"/>
        <w:adjustRightInd/>
        <w:snapToGrid/>
        <w:spacing w:before="0" w:after="0" w:line="440" w:lineRule="exact"/>
        <w:textAlignment w:val="auto"/>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能源审计报告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2.1</w:t>
      </w:r>
      <w:r>
        <w:rPr>
          <w:rFonts w:hint="eastAsia" w:ascii="宋体" w:hAnsi="宋体" w:eastAsia="宋体" w:cs="宋体"/>
          <w:color w:val="000000" w:themeColor="text1"/>
          <w:sz w:val="24"/>
          <w:szCs w:val="24"/>
          <w:highlight w:val="none"/>
          <w:lang w:val="en-US" w:eastAsia="zh-CN"/>
          <w14:textFill>
            <w14:solidFill>
              <w14:schemeClr w14:val="tx1"/>
            </w14:solidFill>
          </w14:textFill>
        </w:rPr>
        <w:t>查阅建筑物竣工验收资料和用能系统、设备台账资料，检查节能设计标准的执行情况；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2.2</w:t>
      </w:r>
      <w:r>
        <w:rPr>
          <w:rFonts w:hint="eastAsia" w:ascii="宋体" w:hAnsi="宋体" w:eastAsia="宋体" w:cs="宋体"/>
          <w:color w:val="000000" w:themeColor="text1"/>
          <w:sz w:val="24"/>
          <w:szCs w:val="24"/>
          <w:highlight w:val="none"/>
          <w:lang w:val="en-US" w:eastAsia="zh-CN"/>
          <w14:textFill>
            <w14:solidFill>
              <w14:schemeClr w14:val="tx1"/>
            </w14:solidFill>
          </w14:textFill>
        </w:rPr>
        <w:t>核对电、气、煤、油、市政热力等能源消耗计量记录和财务账单，评估分类与分项的总能耗、人均能耗和单位建筑面积能耗；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2.3</w:t>
      </w:r>
      <w:r>
        <w:rPr>
          <w:rFonts w:hint="eastAsia" w:ascii="宋体" w:hAnsi="宋体" w:eastAsia="宋体" w:cs="宋体"/>
          <w:color w:val="000000" w:themeColor="text1"/>
          <w:sz w:val="24"/>
          <w:szCs w:val="24"/>
          <w:highlight w:val="none"/>
          <w:lang w:val="en-US" w:eastAsia="zh-CN"/>
          <w14:textFill>
            <w14:solidFill>
              <w14:schemeClr w14:val="tx1"/>
            </w14:solidFill>
          </w14:textFill>
        </w:rPr>
        <w:t>检查用能系统、设备的运行状况，审查节能管理制度执行情况；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2.4</w:t>
      </w:r>
      <w:r>
        <w:rPr>
          <w:rFonts w:hint="eastAsia" w:ascii="宋体" w:hAnsi="宋体" w:eastAsia="宋体" w:cs="宋体"/>
          <w:color w:val="000000" w:themeColor="text1"/>
          <w:sz w:val="24"/>
          <w:szCs w:val="24"/>
          <w:highlight w:val="none"/>
          <w:lang w:val="en-US" w:eastAsia="zh-CN"/>
          <w14:textFill>
            <w14:solidFill>
              <w14:schemeClr w14:val="tx1"/>
            </w14:solidFill>
          </w14:textFill>
        </w:rPr>
        <w:t>审查能源计量器具的运行情况，检查能耗统计数据的真实性、准确性。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2.5</w:t>
      </w:r>
      <w:r>
        <w:rPr>
          <w:rFonts w:hint="eastAsia" w:ascii="宋体" w:hAnsi="宋体" w:eastAsia="宋体" w:cs="宋体"/>
          <w:color w:val="000000" w:themeColor="text1"/>
          <w:sz w:val="24"/>
          <w:szCs w:val="24"/>
          <w:highlight w:val="none"/>
          <w:lang w:val="en-US" w:eastAsia="zh-CN"/>
          <w14:textFill>
            <w14:solidFill>
              <w14:schemeClr w14:val="tx1"/>
            </w14:solidFill>
          </w14:textFill>
        </w:rPr>
        <w:t>查找存在节能潜力的用能环节或者部位，提出合理使用能源的建议；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2.6</w:t>
      </w:r>
      <w:r>
        <w:rPr>
          <w:rFonts w:hint="eastAsia" w:ascii="宋体" w:hAnsi="宋体" w:eastAsia="宋体" w:cs="宋体"/>
          <w:color w:val="000000" w:themeColor="text1"/>
          <w:sz w:val="24"/>
          <w:szCs w:val="24"/>
          <w:highlight w:val="none"/>
          <w:lang w:val="en-US" w:eastAsia="zh-CN"/>
          <w14:textFill>
            <w14:solidFill>
              <w14:schemeClr w14:val="tx1"/>
            </w14:solidFill>
          </w14:textFill>
        </w:rPr>
        <w:t>出具建筑能耗情况、节能潜力分析、审计结论报告2套。</w:t>
      </w:r>
    </w:p>
    <w:p>
      <w:pPr>
        <w:pStyle w:val="3"/>
        <w:pageBreakBefore w:val="0"/>
        <w:widowControl w:val="0"/>
        <w:numPr>
          <w:ilvl w:val="0"/>
          <w:numId w:val="1"/>
        </w:numPr>
        <w:kinsoku/>
        <w:wordWrap/>
        <w:overflowPunct/>
        <w:topLinePunct w:val="0"/>
        <w:autoSpaceDE/>
        <w:autoSpaceDN/>
        <w:bidi w:val="0"/>
        <w:adjustRightInd/>
        <w:snapToGrid/>
        <w:spacing w:before="0" w:after="0" w:line="440" w:lineRule="exact"/>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水平衡测试报告</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对成都市龙泉驿区妇幼保健院用水管网系统进行水平衡测试，通过水平衡测试全面了解院区用水管网状况，各部位（单元）用水现状，画出水平衡图，依据测定的水量数据，找出水量平衡关系和合理用水程度，采取相应的措施，挖掘用水潜力，达到加强用水管理，提高合理用水水平的目的。水平衡测试应包含以下内容：</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3.1水平衡测试内容要求</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3.2制定水平衡测试方案；</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3.3查清各用水环节、用水工艺及用水设备的基本情况；</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3.4提取用水技术档案、编制记录表单；</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3.5绘制用水流程图；</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3.6进行水源取水测试；</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3.7进行各水量的测试；</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3.8根据测试数据绘制水平衡方框图；</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3.9进行水平衡计算；</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3.10出具水平衡测试报告一式3份；</w:t>
      </w:r>
    </w:p>
    <w:p>
      <w:pPr>
        <w:pStyle w:val="3"/>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3.11水平衡测试报告应满足成都市对节水管理相关技术要求。</w:t>
      </w:r>
    </w:p>
    <w:p>
      <w:pPr>
        <w:pStyle w:val="2"/>
        <w:numPr>
          <w:ilvl w:val="0"/>
          <w:numId w:val="1"/>
        </w:numPr>
        <w:bidi w:val="0"/>
        <w:spacing w:before="0" w:after="0" w:line="440" w:lineRule="exact"/>
        <w:ind w:left="0" w:leftChars="0" w:firstLine="0" w:firstLineChars="0"/>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低碳实践活动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协助成都市龙泉驿区妇幼保健院完成一次大型活动或者会议的碳中和任务（包含前期物料设计与制作、会议碳中和操作人员支持、后期volg剪辑、取得零碳会议证书），参与碳排放权交易。</w:t>
      </w:r>
    </w:p>
    <w:p>
      <w:pPr>
        <w:pStyle w:val="2"/>
        <w:numPr>
          <w:ilvl w:val="0"/>
          <w:numId w:val="1"/>
        </w:numPr>
        <w:bidi w:val="0"/>
        <w:spacing w:before="0" w:after="0" w:line="440" w:lineRule="exact"/>
        <w:ind w:left="0" w:leftChars="0" w:firstLine="0" w:firstLineChars="0"/>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示范单位复核技术支撑及资料汇编</w:t>
      </w: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按照《节约型公共机构示范单位评价标准》要求，对项目实施和复核工作辅导支撑，节能相关标识制作，补齐资料及管理类文件；提供迎检展板模版，规划迎检路线，提供讲解稿等；全程提供资料模板提供，制作，收集、整理，汇编。出具最终汇编资料纸质1套，电子版1套。</w:t>
      </w: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numPr>
          <w:ilvl w:val="-1"/>
          <w:numId w:val="0"/>
        </w:numPr>
        <w:spacing w:line="440" w:lineRule="exact"/>
        <w:ind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bookmarkStart w:id="0" w:name="_GoBack"/>
      <w:bookmarkEnd w:id="0"/>
    </w:p>
    <w:p>
      <w:pPr>
        <w:keepNext w:val="0"/>
        <w:keepLines w:val="0"/>
        <w:pageBreakBefore w:val="0"/>
        <w:widowControl w:val="0"/>
        <w:numPr>
          <w:ilvl w:val="-1"/>
          <w:numId w:val="0"/>
        </w:numPr>
        <w:kinsoku/>
        <w:wordWrap/>
        <w:overflowPunct/>
        <w:topLinePunct w:val="0"/>
        <w:autoSpaceDE/>
        <w:autoSpaceDN/>
        <w:bidi w:val="0"/>
        <w:adjustRightInd/>
        <w:snapToGrid/>
        <w:spacing w:before="0" w:line="440" w:lineRule="exact"/>
        <w:ind w:left="0" w:leftChars="0" w:right="0" w:rightChars="0" w:firstLine="482" w:firstLineChars="200"/>
        <w:jc w:val="lef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★三、商务要求：</w:t>
      </w:r>
    </w:p>
    <w:p>
      <w:pPr>
        <w:pStyle w:val="2"/>
        <w:keepNext/>
        <w:keepLines/>
        <w:pageBreakBefore w:val="0"/>
        <w:widowControl w:val="0"/>
        <w:numPr>
          <w:ilvl w:val="0"/>
          <w:numId w:val="2"/>
        </w:numPr>
        <w:kinsoku/>
        <w:wordWrap/>
        <w:overflowPunct/>
        <w:topLinePunct w:val="0"/>
        <w:autoSpaceDE/>
        <w:autoSpaceDN/>
        <w:bidi w:val="0"/>
        <w:adjustRightInd/>
        <w:snapToGrid/>
        <w:spacing w:before="0" w:after="0" w:line="440" w:lineRule="exact"/>
        <w:textAlignment w:val="auto"/>
        <w:rPr>
          <w:rFonts w:hint="eastAsia" w:ascii="宋体" w:hAnsi="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14:textFill>
            <w14:solidFill>
              <w14:schemeClr w14:val="tx1"/>
            </w14:solidFill>
          </w14:textFill>
        </w:rPr>
        <w:t>付款要求与方式</w:t>
      </w:r>
    </w:p>
    <w:p>
      <w:pPr>
        <w:pStyle w:val="3"/>
        <w:keepNext/>
        <w:keepLines/>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1.1自合同生效并具备实施条件，供应商须向采购人提供具有合法有效完整的完税发票凭证进行预付款支付结算，支付合同总金额的40%；</w:t>
      </w:r>
    </w:p>
    <w:p>
      <w:pPr>
        <w:pStyle w:val="3"/>
        <w:keepNext/>
        <w:keepLines/>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1.2完成项目全部内容，提交项目验收报告经相关科室确认后，支付合同总金额的50%；</w:t>
      </w:r>
    </w:p>
    <w:p>
      <w:pPr>
        <w:pStyle w:val="3"/>
        <w:keepNext/>
        <w:keepLines/>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1.3复审工作通过，上级文件下达后支付合同总金额的10%；</w:t>
      </w:r>
    </w:p>
    <w:p>
      <w:pPr>
        <w:pStyle w:val="3"/>
        <w:keepNext/>
        <w:keepLines/>
        <w:pageBreakBefore w:val="0"/>
        <w:widowControl w:val="0"/>
        <w:kinsoku/>
        <w:wordWrap/>
        <w:overflowPunct/>
        <w:topLinePunct w:val="0"/>
        <w:autoSpaceDE/>
        <w:autoSpaceDN/>
        <w:bidi w:val="0"/>
        <w:adjustRightInd/>
        <w:snapToGrid/>
        <w:spacing w:before="0" w:after="0" w:line="44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1.4中标人</w:t>
      </w:r>
      <w:r>
        <w:rPr>
          <w:rFonts w:hint="eastAsia" w:ascii="宋体" w:hAnsi="宋体" w:eastAsia="宋体" w:cs="宋体"/>
          <w:b w:val="0"/>
          <w:bCs w:val="0"/>
          <w:color w:val="000000" w:themeColor="text1"/>
          <w:sz w:val="24"/>
          <w:szCs w:val="24"/>
          <w:highlight w:val="none"/>
          <w14:textFill>
            <w14:solidFill>
              <w14:schemeClr w14:val="tx1"/>
            </w14:solidFill>
          </w14:textFill>
        </w:rPr>
        <w:t>须出具合法有效全额的完税发票及凭证资料进行支付结算</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p>
    <w:p>
      <w:pPr>
        <w:pStyle w:val="2"/>
        <w:keepNext/>
        <w:keepLines/>
        <w:pageBreakBefore w:val="0"/>
        <w:widowControl w:val="0"/>
        <w:numPr>
          <w:ilvl w:val="0"/>
          <w:numId w:val="2"/>
        </w:numPr>
        <w:kinsoku/>
        <w:wordWrap/>
        <w:overflowPunct/>
        <w:topLinePunct w:val="0"/>
        <w:autoSpaceDE/>
        <w:autoSpaceDN/>
        <w:bidi w:val="0"/>
        <w:adjustRightInd/>
        <w:snapToGrid/>
        <w:spacing w:before="0" w:after="0" w:line="440" w:lineRule="exact"/>
        <w:textAlignment w:val="auto"/>
        <w:rPr>
          <w:rFonts w:hint="eastAsia" w:ascii="宋体" w:hAnsi="宋体" w:cs="宋体"/>
          <w:b w:val="0"/>
          <w:bCs w:val="0"/>
          <w:color w:val="000000" w:themeColor="text1"/>
          <w:kern w:val="2"/>
          <w:sz w:val="24"/>
          <w:szCs w:val="24"/>
          <w:highlight w:val="none"/>
          <w:lang w:val="en-US" w:eastAsia="zh-CN"/>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14:textFill>
            <w14:solidFill>
              <w14:schemeClr w14:val="tx1"/>
            </w14:solidFill>
          </w14:textFill>
        </w:rPr>
        <w:t>履约地点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成都市龙泉驿区妇幼保健院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C552E2"/>
    <w:multiLevelType w:val="singleLevel"/>
    <w:tmpl w:val="92C552E2"/>
    <w:lvl w:ilvl="0" w:tentative="0">
      <w:start w:val="1"/>
      <w:numFmt w:val="decimal"/>
      <w:lvlText w:val="%1."/>
      <w:lvlJc w:val="left"/>
      <w:pPr>
        <w:tabs>
          <w:tab w:val="left" w:pos="312"/>
        </w:tabs>
      </w:pPr>
    </w:lvl>
  </w:abstractNum>
  <w:abstractNum w:abstractNumId="1">
    <w:nsid w:val="0238BD45"/>
    <w:multiLevelType w:val="singleLevel"/>
    <w:tmpl w:val="0238BD45"/>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3D55C14"/>
    <w:rsid w:val="03D55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2024-06-27T03:45:00Z</dcterms:created>
  <dc:creator>邱玥</dc:creator>
  <cp:lastModifiedBy>邱玥</cp:lastModifiedBy>
  <dcterms:modified xsi:type="dcterms:W3CDTF">2024-06-27T03:47:32Z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77E6F085955941929EE31ADFB56B76BD_11</vt:lpwstr>
  </property>
</Properties>
</file>