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65C4AD">
      <w:pPr>
        <w:keepNext w:val="0"/>
        <w:keepLines w:val="0"/>
        <w:pageBreakBefore w:val="0"/>
        <w:wordWrap/>
        <w:overflowPunct/>
        <w:topLinePunct w:val="0"/>
        <w:bidi w:val="0"/>
        <w:spacing w:line="500" w:lineRule="exact"/>
        <w:jc w:val="left"/>
        <w:rPr>
          <w:rFonts w:ascii="Arial" w:hAnsi="Arial" w:eastAsia="黑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Hlt101233737"/>
      <w:bookmarkEnd w:id="0"/>
      <w:bookmarkStart w:id="1" w:name="_Hlt101843627"/>
      <w:bookmarkEnd w:id="1"/>
      <w:r>
        <w:rPr>
          <w:rFonts w:hint="eastAsia" w:ascii="Arial" w:hAnsi="Arial" w:eastAsia="黑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附件1：项目需求</w:t>
      </w:r>
    </w:p>
    <w:p w14:paraId="53274F60">
      <w:pPr>
        <w:keepNext w:val="0"/>
        <w:keepLines w:val="0"/>
        <w:pageBreakBefore w:val="0"/>
        <w:wordWrap/>
        <w:overflowPunct/>
        <w:topLinePunct w:val="0"/>
        <w:bidi w:val="0"/>
        <w:spacing w:line="500" w:lineRule="exac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（本章中标注“★”的条款为本项目的实质性条款，投标人不满足的，将按照无效投标处理。）</w:t>
      </w:r>
    </w:p>
    <w:p w14:paraId="30319493">
      <w:pPr>
        <w:keepNext w:val="0"/>
        <w:keepLines w:val="0"/>
        <w:pageBreakBefore w:val="0"/>
        <w:numPr>
          <w:ilvl w:val="0"/>
          <w:numId w:val="2"/>
        </w:numPr>
        <w:wordWrap/>
        <w:overflowPunct/>
        <w:topLinePunct w:val="0"/>
        <w:bidi w:val="0"/>
        <w:adjustRightInd w:val="0"/>
        <w:snapToGrid w:val="0"/>
        <w:spacing w:line="500" w:lineRule="exact"/>
        <w:ind w:firstLine="480" w:firstLineChars="200"/>
        <w:jc w:val="left"/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项目概述：</w:t>
      </w:r>
    </w:p>
    <w:p w14:paraId="25CFFB30">
      <w:pPr>
        <w:keepNext w:val="0"/>
        <w:keepLines w:val="0"/>
        <w:pageBreakBefore w:val="0"/>
        <w:wordWrap/>
        <w:overflowPunct/>
        <w:topLinePunct w:val="0"/>
        <w:bidi w:val="0"/>
        <w:spacing w:line="500" w:lineRule="exact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本项目1个包，采购成都市龙泉驿区妇幼保健院</w:t>
      </w:r>
      <w:r>
        <w:rPr>
          <w:rFonts w:hint="eastAsia" w:ascii="宋体" w:hAnsi="宋体" w:eastAsia="宋体" w:cs="宋体"/>
          <w:sz w:val="24"/>
          <w:lang w:val="en-US" w:eastAsia="zh-CN"/>
        </w:rPr>
        <w:t>超净配药器设备</w:t>
      </w:r>
      <w:r>
        <w:rPr>
          <w:rFonts w:hint="eastAsia" w:ascii="宋体" w:hAnsi="宋体" w:eastAsia="宋体" w:cs="宋体"/>
          <w:sz w:val="24"/>
        </w:rPr>
        <w:t>，具体内容如下：</w:t>
      </w:r>
    </w:p>
    <w:tbl>
      <w:tblPr>
        <w:tblStyle w:val="18"/>
        <w:tblW w:w="95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2"/>
        <w:gridCol w:w="792"/>
        <w:gridCol w:w="2105"/>
        <w:gridCol w:w="775"/>
        <w:gridCol w:w="775"/>
        <w:gridCol w:w="1975"/>
        <w:gridCol w:w="2046"/>
      </w:tblGrid>
      <w:tr w14:paraId="4B4B2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  <w:jc w:val="center"/>
        </w:trPr>
        <w:tc>
          <w:tcPr>
            <w:tcW w:w="1042" w:type="dxa"/>
            <w:vAlign w:val="center"/>
          </w:tcPr>
          <w:p w14:paraId="694AB915">
            <w:pPr>
              <w:pStyle w:val="4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包号</w:t>
            </w:r>
          </w:p>
        </w:tc>
        <w:tc>
          <w:tcPr>
            <w:tcW w:w="792" w:type="dxa"/>
            <w:vAlign w:val="center"/>
          </w:tcPr>
          <w:p w14:paraId="70A8C206">
            <w:pPr>
              <w:pStyle w:val="4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序号</w:t>
            </w:r>
          </w:p>
        </w:tc>
        <w:tc>
          <w:tcPr>
            <w:tcW w:w="2105" w:type="dxa"/>
            <w:vAlign w:val="center"/>
          </w:tcPr>
          <w:p w14:paraId="38FDF373">
            <w:pPr>
              <w:pStyle w:val="4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标的名称</w:t>
            </w:r>
          </w:p>
        </w:tc>
        <w:tc>
          <w:tcPr>
            <w:tcW w:w="775" w:type="dxa"/>
            <w:vAlign w:val="center"/>
          </w:tcPr>
          <w:p w14:paraId="20C853E8">
            <w:pPr>
              <w:pStyle w:val="4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数量</w:t>
            </w:r>
          </w:p>
        </w:tc>
        <w:tc>
          <w:tcPr>
            <w:tcW w:w="775" w:type="dxa"/>
            <w:vAlign w:val="center"/>
          </w:tcPr>
          <w:p w14:paraId="174AF4F5">
            <w:pPr>
              <w:pStyle w:val="4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单位</w:t>
            </w:r>
          </w:p>
        </w:tc>
        <w:tc>
          <w:tcPr>
            <w:tcW w:w="1975" w:type="dxa"/>
          </w:tcPr>
          <w:p w14:paraId="39157FE9">
            <w:pPr>
              <w:pStyle w:val="4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最高单价限价（元）</w:t>
            </w:r>
          </w:p>
        </w:tc>
        <w:tc>
          <w:tcPr>
            <w:tcW w:w="2046" w:type="dxa"/>
          </w:tcPr>
          <w:p w14:paraId="2CDD6BEB">
            <w:pPr>
              <w:pStyle w:val="4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00" w:lineRule="exact"/>
              <w:ind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最高总价限价（元）</w:t>
            </w:r>
          </w:p>
        </w:tc>
      </w:tr>
      <w:tr w14:paraId="2835DD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2" w:type="dxa"/>
            <w:vAlign w:val="center"/>
          </w:tcPr>
          <w:p w14:paraId="2B0AD94A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500" w:lineRule="exact"/>
              <w:ind w:firstLine="240" w:firstLineChars="100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01</w:t>
            </w:r>
          </w:p>
        </w:tc>
        <w:tc>
          <w:tcPr>
            <w:tcW w:w="792" w:type="dxa"/>
            <w:vAlign w:val="center"/>
          </w:tcPr>
          <w:p w14:paraId="1E920096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500" w:lineRule="exact"/>
              <w:ind w:firstLine="240" w:firstLineChars="1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2105" w:type="dxa"/>
            <w:vAlign w:val="center"/>
          </w:tcPr>
          <w:p w14:paraId="6821EC1C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超净配药器</w:t>
            </w:r>
          </w:p>
        </w:tc>
        <w:tc>
          <w:tcPr>
            <w:tcW w:w="775" w:type="dxa"/>
            <w:vAlign w:val="center"/>
          </w:tcPr>
          <w:p w14:paraId="4F7A7132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75" w:type="dxa"/>
            <w:vAlign w:val="center"/>
          </w:tcPr>
          <w:p w14:paraId="0ABC7F10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500" w:lineRule="exact"/>
              <w:ind w:firstLine="240" w:firstLineChars="1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台</w:t>
            </w:r>
          </w:p>
        </w:tc>
        <w:tc>
          <w:tcPr>
            <w:tcW w:w="1975" w:type="dxa"/>
            <w:vAlign w:val="center"/>
          </w:tcPr>
          <w:p w14:paraId="3264E1D5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500" w:lineRule="exact"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25000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bidi="ar"/>
              </w:rPr>
              <w:t>.00</w:t>
            </w:r>
          </w:p>
        </w:tc>
        <w:tc>
          <w:tcPr>
            <w:tcW w:w="2046" w:type="dxa"/>
            <w:vAlign w:val="center"/>
          </w:tcPr>
          <w:p w14:paraId="55AE9F76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500" w:lineRule="exact"/>
              <w:jc w:val="center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125000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bidi="ar"/>
              </w:rPr>
              <w:t>.00</w:t>
            </w:r>
          </w:p>
        </w:tc>
      </w:tr>
    </w:tbl>
    <w:p w14:paraId="7A9883E0">
      <w:pPr>
        <w:keepNext w:val="0"/>
        <w:keepLines w:val="0"/>
        <w:pageBreakBefore w:val="0"/>
        <w:widowControl/>
        <w:numPr>
          <w:ilvl w:val="255"/>
          <w:numId w:val="0"/>
        </w:numPr>
        <w:wordWrap/>
        <w:overflowPunct/>
        <w:topLinePunct w:val="0"/>
        <w:bidi w:val="0"/>
        <w:spacing w:line="500" w:lineRule="exact"/>
        <w:ind w:firstLine="420" w:firstLineChars="200"/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bookmarkStart w:id="2" w:name="_GoBack"/>
      <w:r>
        <w:rPr>
          <w:rFonts w:hint="eastAsia" w:ascii="宋体" w:hAnsi="宋体" w:eastAsia="宋体" w:cs="宋体"/>
          <w:color w:val="000000" w:themeColor="text1"/>
          <w:szCs w:val="24"/>
          <w14:textFill>
            <w14:solidFill>
              <w14:schemeClr w14:val="tx1"/>
            </w14:solidFill>
          </w14:textFill>
        </w:rPr>
        <w:t>★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二、</w:t>
      </w:r>
      <w:r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商务要求：</w:t>
      </w:r>
    </w:p>
    <w:p w14:paraId="7D87027A">
      <w:pPr>
        <w:keepNext w:val="0"/>
        <w:keepLines w:val="0"/>
        <w:pageBreakBefore w:val="0"/>
        <w:wordWrap/>
        <w:overflowPunct/>
        <w:topLinePunct w:val="0"/>
        <w:bidi w:val="0"/>
        <w:spacing w:line="500" w:lineRule="exact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1．交货期及地点</w:t>
      </w:r>
    </w:p>
    <w:p w14:paraId="2AB04535">
      <w:pPr>
        <w:keepNext w:val="0"/>
        <w:keepLines w:val="0"/>
        <w:pageBreakBefore w:val="0"/>
        <w:wordWrap/>
        <w:overflowPunct/>
        <w:topLinePunct w:val="0"/>
        <w:bidi w:val="0"/>
        <w:spacing w:line="500" w:lineRule="exac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1.1 交货期：合同签订生效后15日内。 </w:t>
      </w:r>
    </w:p>
    <w:p w14:paraId="4393DB72">
      <w:pPr>
        <w:keepNext w:val="0"/>
        <w:keepLines w:val="0"/>
        <w:pageBreakBefore w:val="0"/>
        <w:wordWrap/>
        <w:overflowPunct/>
        <w:topLinePunct w:val="0"/>
        <w:bidi w:val="0"/>
        <w:spacing w:line="500" w:lineRule="exac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1.2 交货地点: 成都市龙泉驿区妇幼保健院</w:t>
      </w:r>
    </w:p>
    <w:p w14:paraId="04EEBF1D">
      <w:pPr>
        <w:keepNext w:val="0"/>
        <w:keepLines w:val="0"/>
        <w:pageBreakBefore w:val="0"/>
        <w:wordWrap/>
        <w:overflowPunct/>
        <w:topLinePunct w:val="0"/>
        <w:bidi w:val="0"/>
        <w:spacing w:line="500" w:lineRule="exact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2．付款方法和条件：</w:t>
      </w:r>
    </w:p>
    <w:p w14:paraId="7C80B71F">
      <w:pPr>
        <w:pStyle w:val="36"/>
        <w:keepNext w:val="0"/>
        <w:keepLines w:val="0"/>
        <w:pageBreakBefore w:val="0"/>
        <w:wordWrap/>
        <w:overflowPunct/>
        <w:topLinePunct w:val="0"/>
        <w:bidi w:val="0"/>
        <w:snapToGrid w:val="0"/>
        <w:spacing w:line="500" w:lineRule="exact"/>
        <w:ind w:firstLine="240" w:firstLineChars="100"/>
        <w:textAlignment w:val="baseline"/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bCs/>
        </w:rPr>
        <w:t xml:space="preserve">2.1 </w:t>
      </w:r>
      <w:r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  <w:t>合同签订后，货物到指定地点，甲方接到乙方通知与票据凭证资料以后的15日内，按照财政性资金支付有关规定，向乙方核拨预付款，合同总金额的50%款项；</w:t>
      </w:r>
    </w:p>
    <w:p w14:paraId="4BBE6CEB">
      <w:pPr>
        <w:pStyle w:val="36"/>
        <w:keepNext w:val="0"/>
        <w:keepLines w:val="0"/>
        <w:pageBreakBefore w:val="0"/>
        <w:wordWrap/>
        <w:overflowPunct/>
        <w:topLinePunct w:val="0"/>
        <w:bidi w:val="0"/>
        <w:snapToGrid w:val="0"/>
        <w:spacing w:line="500" w:lineRule="exact"/>
        <w:ind w:firstLine="240" w:firstLineChars="100"/>
        <w:textAlignment w:val="baseline"/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/>
          <w:bCs/>
        </w:rPr>
        <w:t>2.2</w:t>
      </w:r>
      <w:r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  <w:t>货物安装调试完毕并经科室确认后，甲方接到乙方通知与票据凭证资料以后的15日内，向乙方核拨合同总金额的40%款项；</w:t>
      </w:r>
    </w:p>
    <w:p w14:paraId="4D562CB8">
      <w:pPr>
        <w:pStyle w:val="36"/>
        <w:keepNext w:val="0"/>
        <w:keepLines w:val="0"/>
        <w:pageBreakBefore w:val="0"/>
        <w:wordWrap/>
        <w:overflowPunct/>
        <w:topLinePunct w:val="0"/>
        <w:bidi w:val="0"/>
        <w:snapToGrid w:val="0"/>
        <w:spacing w:line="500" w:lineRule="exact"/>
        <w:ind w:firstLine="240" w:firstLineChars="100"/>
        <w:textAlignment w:val="baseline"/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/>
          <w:bCs/>
        </w:rPr>
        <w:t>2.3</w:t>
      </w:r>
      <w:r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  <w:t>货物正常使用六个月后，乙方提交验收报告，经科室确认后，甲方接到乙方通知与票据凭证资料以后的15日内，向乙方核拨合同总金额的10%款项；</w:t>
      </w:r>
    </w:p>
    <w:p w14:paraId="6116DA84">
      <w:pPr>
        <w:keepNext w:val="0"/>
        <w:keepLines w:val="0"/>
        <w:pageBreakBefore w:val="0"/>
        <w:wordWrap/>
        <w:overflowPunct/>
        <w:topLinePunct w:val="0"/>
        <w:bidi w:val="0"/>
        <w:spacing w:line="500" w:lineRule="exact"/>
        <w:ind w:firstLine="240" w:firstLineChars="100"/>
        <w:rPr>
          <w:rFonts w:ascii="宋体" w:hAnsi="宋体" w:eastAsia="宋体" w:cs="宋体"/>
          <w:bCs/>
          <w:sz w:val="24"/>
        </w:rPr>
      </w:pPr>
      <w:r>
        <w:rPr>
          <w:rFonts w:ascii="宋体" w:hAnsi="宋体" w:eastAsia="宋体" w:cs="宋体"/>
          <w:bCs/>
          <w:sz w:val="24"/>
        </w:rPr>
        <w:t>2.</w:t>
      </w:r>
      <w:r>
        <w:rPr>
          <w:rFonts w:hint="eastAsia" w:ascii="宋体" w:hAnsi="宋体" w:eastAsia="宋体" w:cs="宋体"/>
          <w:bCs/>
          <w:sz w:val="24"/>
        </w:rPr>
        <w:t>4 付款条件：每次款项的支付前提均为采购人在收到中标人出具的正规发票30日内予以办理款项的支付。</w:t>
      </w:r>
    </w:p>
    <w:p w14:paraId="15D063EE">
      <w:pPr>
        <w:keepNext w:val="0"/>
        <w:keepLines w:val="0"/>
        <w:pageBreakBefore w:val="0"/>
        <w:wordWrap/>
        <w:overflowPunct/>
        <w:topLinePunct w:val="0"/>
        <w:bidi w:val="0"/>
        <w:spacing w:line="500" w:lineRule="exact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  <w:lang w:val="en-US" w:eastAsia="zh-CN"/>
        </w:rPr>
        <w:t>3</w:t>
      </w:r>
      <w:r>
        <w:rPr>
          <w:rFonts w:hint="eastAsia" w:ascii="宋体" w:hAnsi="宋体" w:eastAsia="宋体" w:cs="宋体"/>
          <w:bCs/>
          <w:sz w:val="24"/>
        </w:rPr>
        <w:t>.安装调试及验收：</w:t>
      </w:r>
    </w:p>
    <w:p w14:paraId="49B1A3A6">
      <w:pPr>
        <w:keepNext w:val="0"/>
        <w:keepLines w:val="0"/>
        <w:pageBreakBefore w:val="0"/>
        <w:wordWrap/>
        <w:overflowPunct/>
        <w:topLinePunct w:val="0"/>
        <w:bidi w:val="0"/>
        <w:spacing w:line="500" w:lineRule="exact"/>
        <w:ind w:firstLine="240" w:firstLineChars="100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  <w:lang w:val="en-US" w:eastAsia="zh-CN"/>
        </w:rPr>
        <w:t>3</w:t>
      </w:r>
      <w:r>
        <w:rPr>
          <w:rFonts w:hint="eastAsia" w:ascii="宋体" w:hAnsi="宋体" w:eastAsia="宋体" w:cs="宋体"/>
          <w:bCs/>
          <w:sz w:val="24"/>
        </w:rPr>
        <w:t>.1 供应商负责设备安装、调试。</w:t>
      </w:r>
    </w:p>
    <w:p w14:paraId="1BCEA20E">
      <w:pPr>
        <w:keepNext w:val="0"/>
        <w:keepLines w:val="0"/>
        <w:pageBreakBefore w:val="0"/>
        <w:wordWrap/>
        <w:overflowPunct/>
        <w:topLinePunct w:val="0"/>
        <w:bidi w:val="0"/>
        <w:spacing w:line="500" w:lineRule="exact"/>
        <w:ind w:firstLine="240" w:firstLineChars="100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  <w:lang w:val="en-US" w:eastAsia="zh-CN"/>
        </w:rPr>
        <w:t>3</w:t>
      </w:r>
      <w:r>
        <w:rPr>
          <w:rFonts w:hint="eastAsia" w:ascii="宋体" w:hAnsi="宋体" w:eastAsia="宋体" w:cs="宋体"/>
          <w:bCs/>
          <w:sz w:val="24"/>
        </w:rPr>
        <w:t>.2 货物到达采购人现场后，供应商接到采购人通知后7日内到达现场组织安装、调试，达到正常运行要求，保证采购人正常使用。所需的费用包括在投标总价格中。</w:t>
      </w:r>
    </w:p>
    <w:p w14:paraId="4610CD17">
      <w:pPr>
        <w:keepNext w:val="0"/>
        <w:keepLines w:val="0"/>
        <w:pageBreakBefore w:val="0"/>
        <w:wordWrap/>
        <w:overflowPunct/>
        <w:topLinePunct w:val="0"/>
        <w:bidi w:val="0"/>
        <w:spacing w:line="500" w:lineRule="exact"/>
        <w:ind w:firstLine="240" w:firstLineChars="100"/>
        <w:jc w:val="left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  <w:lang w:val="en-US" w:eastAsia="zh-CN"/>
        </w:rPr>
        <w:t>3</w:t>
      </w:r>
      <w:r>
        <w:rPr>
          <w:rFonts w:hint="eastAsia" w:ascii="宋体" w:hAnsi="宋体" w:eastAsia="宋体" w:cs="宋体"/>
          <w:bCs/>
          <w:sz w:val="24"/>
        </w:rPr>
        <w:t>.3 供应商应就设备的安装、调试、操作、维修、保养等对采购人维修技术人员进行培训。设备安装调试完毕后，供应商应对采购人操作人员进行现场培训，直至采购人的技术人员能独立操作，同时能完成一般常见故障的维修工作。</w:t>
      </w:r>
    </w:p>
    <w:p w14:paraId="090B6CA4">
      <w:pPr>
        <w:keepNext w:val="0"/>
        <w:keepLines w:val="0"/>
        <w:pageBreakBefore w:val="0"/>
        <w:wordWrap/>
        <w:overflowPunct/>
        <w:topLinePunct w:val="0"/>
        <w:bidi w:val="0"/>
        <w:spacing w:line="500" w:lineRule="exact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  <w:lang w:val="en-US" w:eastAsia="zh-CN"/>
        </w:rPr>
        <w:t>4</w:t>
      </w:r>
      <w:r>
        <w:rPr>
          <w:rFonts w:hint="eastAsia" w:ascii="宋体" w:hAnsi="宋体" w:eastAsia="宋体" w:cs="宋体"/>
          <w:bCs/>
          <w:sz w:val="24"/>
        </w:rPr>
        <w:t>.履约验收要求</w:t>
      </w:r>
    </w:p>
    <w:p w14:paraId="187560D2">
      <w:pPr>
        <w:keepNext w:val="0"/>
        <w:keepLines w:val="0"/>
        <w:pageBreakBefore w:val="0"/>
        <w:wordWrap/>
        <w:overflowPunct/>
        <w:topLinePunct w:val="0"/>
        <w:bidi w:val="0"/>
        <w:spacing w:line="500" w:lineRule="exact"/>
        <w:ind w:firstLine="240" w:firstLineChars="100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  <w:lang w:val="en-US" w:eastAsia="zh-CN"/>
        </w:rPr>
        <w:t>4</w:t>
      </w:r>
      <w:r>
        <w:rPr>
          <w:rFonts w:hint="eastAsia" w:ascii="宋体" w:hAnsi="宋体" w:eastAsia="宋体" w:cs="宋体"/>
          <w:bCs/>
          <w:sz w:val="24"/>
        </w:rPr>
        <w:t>.1 验收方法：验收时双方皆应派员参加，验收合格并安装完毕后需双方签署验收单；</w:t>
      </w:r>
    </w:p>
    <w:p w14:paraId="4C0FAD68">
      <w:pPr>
        <w:keepNext w:val="0"/>
        <w:keepLines w:val="0"/>
        <w:pageBreakBefore w:val="0"/>
        <w:wordWrap/>
        <w:overflowPunct/>
        <w:topLinePunct w:val="0"/>
        <w:bidi w:val="0"/>
        <w:spacing w:line="500" w:lineRule="exact"/>
        <w:ind w:firstLine="240" w:firstLineChars="100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  <w:lang w:val="en-US" w:eastAsia="zh-CN"/>
        </w:rPr>
        <w:t>4</w:t>
      </w:r>
      <w:r>
        <w:rPr>
          <w:rFonts w:hint="eastAsia" w:ascii="宋体" w:hAnsi="宋体" w:eastAsia="宋体" w:cs="宋体"/>
          <w:bCs/>
          <w:sz w:val="24"/>
        </w:rPr>
        <w:t>.2 验收标准：符合国家相关规定的合格产品；保证所供的货物皆为原厂原装、全新、未使用过，并按照相关技术要求进行安装、调试，并完全满足采购人采购提出的工作需要。</w:t>
      </w:r>
    </w:p>
    <w:p w14:paraId="7B03D098">
      <w:pPr>
        <w:keepNext w:val="0"/>
        <w:keepLines w:val="0"/>
        <w:pageBreakBefore w:val="0"/>
        <w:wordWrap/>
        <w:overflowPunct/>
        <w:topLinePunct w:val="0"/>
        <w:bidi w:val="0"/>
        <w:spacing w:line="500" w:lineRule="exact"/>
        <w:ind w:firstLine="240" w:firstLineChars="100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  <w:lang w:val="en-US" w:eastAsia="zh-CN"/>
        </w:rPr>
        <w:t>4</w:t>
      </w:r>
      <w:r>
        <w:rPr>
          <w:rFonts w:hint="eastAsia" w:ascii="宋体" w:hAnsi="宋体" w:eastAsia="宋体" w:cs="宋体"/>
          <w:bCs/>
          <w:sz w:val="24"/>
        </w:rPr>
        <w:t>.3 验收时须提供的产品资料：（1）合同复印件1份；（2）中标人资质、产品制造厂家资质及产品资质、投标产品制造厂家的授权文件纸质电子版各1套；（3）合格证、保修卡、使用手册等。</w:t>
      </w:r>
    </w:p>
    <w:p w14:paraId="7E770E52">
      <w:pPr>
        <w:keepNext w:val="0"/>
        <w:keepLines w:val="0"/>
        <w:pageBreakBefore w:val="0"/>
        <w:wordWrap/>
        <w:overflowPunct/>
        <w:topLinePunct w:val="0"/>
        <w:bidi w:val="0"/>
        <w:spacing w:line="500" w:lineRule="exact"/>
        <w:ind w:firstLine="240" w:firstLineChars="100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  <w:lang w:val="en-US" w:eastAsia="zh-CN"/>
        </w:rPr>
        <w:t>4</w:t>
      </w:r>
      <w:r>
        <w:rPr>
          <w:rFonts w:hint="eastAsia" w:ascii="宋体" w:hAnsi="宋体" w:eastAsia="宋体" w:cs="宋体"/>
          <w:bCs/>
          <w:sz w:val="24"/>
        </w:rPr>
        <w:t>.4 验收时间要求：中标人按照合同要求完成全部货物运输、安装、调试等全部工作后，采购人在收到书面的验收申请材料后30日内组织履约验收工作。</w:t>
      </w:r>
    </w:p>
    <w:p w14:paraId="77749597">
      <w:pPr>
        <w:keepNext w:val="0"/>
        <w:keepLines w:val="0"/>
        <w:pageBreakBefore w:val="0"/>
        <w:wordWrap/>
        <w:overflowPunct/>
        <w:topLinePunct w:val="0"/>
        <w:bidi w:val="0"/>
        <w:spacing w:line="500" w:lineRule="exact"/>
        <w:ind w:firstLine="240" w:firstLineChars="100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  <w:lang w:val="en-US" w:eastAsia="zh-CN"/>
        </w:rPr>
        <w:t>4</w:t>
      </w:r>
      <w:r>
        <w:rPr>
          <w:rFonts w:hint="eastAsia" w:ascii="宋体" w:hAnsi="宋体" w:eastAsia="宋体" w:cs="宋体"/>
          <w:bCs/>
          <w:sz w:val="24"/>
        </w:rPr>
        <w:t>.5 其他要求：验收不合格时，采购人和中标人应协商一致，中标人应根据相关验收证明材料及时补足或更换设备，费用由中标人自行承担。</w:t>
      </w:r>
    </w:p>
    <w:p w14:paraId="3C85CC63">
      <w:pPr>
        <w:keepNext w:val="0"/>
        <w:keepLines w:val="0"/>
        <w:pageBreakBefore w:val="0"/>
        <w:numPr>
          <w:ilvl w:val="255"/>
          <w:numId w:val="0"/>
        </w:numPr>
        <w:wordWrap/>
        <w:overflowPunct/>
        <w:topLinePunct w:val="0"/>
        <w:bidi w:val="0"/>
        <w:spacing w:line="500" w:lineRule="exact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  <w:lang w:val="en-US" w:eastAsia="zh-CN"/>
        </w:rPr>
        <w:t>5</w:t>
      </w:r>
      <w:r>
        <w:rPr>
          <w:rFonts w:hint="eastAsia" w:ascii="宋体" w:hAnsi="宋体" w:eastAsia="宋体" w:cs="宋体"/>
          <w:bCs/>
          <w:sz w:val="24"/>
        </w:rPr>
        <w:t>.售后服务及培训要求</w:t>
      </w:r>
    </w:p>
    <w:p w14:paraId="1009D742">
      <w:pPr>
        <w:keepNext w:val="0"/>
        <w:keepLines w:val="0"/>
        <w:pageBreakBefore w:val="0"/>
        <w:wordWrap/>
        <w:overflowPunct/>
        <w:topLinePunct w:val="0"/>
        <w:bidi w:val="0"/>
        <w:spacing w:line="500" w:lineRule="exact"/>
        <w:ind w:firstLine="240" w:firstLineChars="100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  <w:lang w:val="en-US" w:eastAsia="zh-CN"/>
        </w:rPr>
        <w:t>5</w:t>
      </w:r>
      <w:r>
        <w:rPr>
          <w:rFonts w:hint="eastAsia" w:ascii="宋体" w:hAnsi="宋体" w:eastAsia="宋体" w:cs="宋体"/>
          <w:bCs/>
          <w:sz w:val="24"/>
        </w:rPr>
        <w:t>.1 设备发生故障时，中标人接到通知后30分钟内提供电话等服务响应，48小时内到达现场维修。</w:t>
      </w:r>
    </w:p>
    <w:p w14:paraId="02FA060C">
      <w:pPr>
        <w:keepNext w:val="0"/>
        <w:keepLines w:val="0"/>
        <w:pageBreakBefore w:val="0"/>
        <w:wordWrap/>
        <w:overflowPunct/>
        <w:topLinePunct w:val="0"/>
        <w:bidi w:val="0"/>
        <w:spacing w:line="500" w:lineRule="exact"/>
        <w:ind w:firstLine="240" w:firstLineChars="100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  <w:lang w:val="en-US" w:eastAsia="zh-CN"/>
        </w:rPr>
        <w:t>5</w:t>
      </w:r>
      <w:r>
        <w:rPr>
          <w:rFonts w:hint="eastAsia" w:ascii="宋体" w:hAnsi="宋体" w:eastAsia="宋体" w:cs="宋体"/>
          <w:bCs/>
          <w:sz w:val="24"/>
        </w:rPr>
        <w:t>.2 设备保修期内开机率不低于95%。</w:t>
      </w:r>
    </w:p>
    <w:p w14:paraId="5C5AAAD0">
      <w:pPr>
        <w:keepNext w:val="0"/>
        <w:keepLines w:val="0"/>
        <w:pageBreakBefore w:val="0"/>
        <w:wordWrap/>
        <w:overflowPunct/>
        <w:topLinePunct w:val="0"/>
        <w:bidi w:val="0"/>
        <w:spacing w:line="500" w:lineRule="exact"/>
        <w:ind w:firstLine="240" w:firstLineChars="100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  <w:lang w:val="en-US" w:eastAsia="zh-CN"/>
        </w:rPr>
        <w:t>5</w:t>
      </w:r>
      <w:r>
        <w:rPr>
          <w:rFonts w:hint="eastAsia" w:ascii="宋体" w:hAnsi="宋体" w:eastAsia="宋体" w:cs="宋体"/>
          <w:bCs/>
          <w:sz w:val="24"/>
        </w:rPr>
        <w:t>.3 零配件供应：中标人应保证设备安装验收后备件供应不少于6年，备有所有必需的备件，保证需要时48小时内将配件送达采购人。</w:t>
      </w:r>
    </w:p>
    <w:p w14:paraId="51B9C603">
      <w:pPr>
        <w:keepNext w:val="0"/>
        <w:keepLines w:val="0"/>
        <w:pageBreakBefore w:val="0"/>
        <w:wordWrap/>
        <w:overflowPunct/>
        <w:topLinePunct w:val="0"/>
        <w:bidi w:val="0"/>
        <w:spacing w:line="500" w:lineRule="exact"/>
        <w:ind w:firstLine="240" w:firstLineChars="100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  <w:lang w:val="en-US" w:eastAsia="zh-CN"/>
        </w:rPr>
        <w:t>5</w:t>
      </w:r>
      <w:r>
        <w:rPr>
          <w:rFonts w:hint="eastAsia" w:ascii="宋体" w:hAnsi="宋体" w:eastAsia="宋体" w:cs="宋体"/>
          <w:bCs/>
          <w:sz w:val="24"/>
        </w:rPr>
        <w:t>.4 投标产品制造厂家在国内应有24小时电话维修系统，在供货时须提供工程师名单、联系电话、通讯地址及备件的目录，保证8小时响应采购人的服务要求。</w:t>
      </w:r>
    </w:p>
    <w:p w14:paraId="698F8E7F">
      <w:pPr>
        <w:keepNext w:val="0"/>
        <w:keepLines w:val="0"/>
        <w:pageBreakBefore w:val="0"/>
        <w:wordWrap/>
        <w:overflowPunct/>
        <w:topLinePunct w:val="0"/>
        <w:bidi w:val="0"/>
        <w:spacing w:line="500" w:lineRule="exact"/>
        <w:ind w:firstLine="240" w:firstLineChars="100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  <w:lang w:val="en-US" w:eastAsia="zh-CN"/>
        </w:rPr>
        <w:t>5</w:t>
      </w:r>
      <w:r>
        <w:rPr>
          <w:rFonts w:hint="eastAsia" w:ascii="宋体" w:hAnsi="宋体" w:eastAsia="宋体" w:cs="宋体"/>
          <w:bCs/>
          <w:sz w:val="24"/>
        </w:rPr>
        <w:t>.5 中标人或投标产品生产厂家的售后服务机构在对设备进行保养、维修后须向采购人管理科室提供经使用人员确认的纸质报告；中标人或投标产品生产厂家需提供每年不少于2次的日常巡查巡检设备，并提供纸质报告。</w:t>
      </w:r>
    </w:p>
    <w:p w14:paraId="0052080B">
      <w:pPr>
        <w:keepNext w:val="0"/>
        <w:keepLines w:val="0"/>
        <w:pageBreakBefore w:val="0"/>
        <w:wordWrap/>
        <w:overflowPunct/>
        <w:topLinePunct w:val="0"/>
        <w:bidi w:val="0"/>
        <w:spacing w:line="500" w:lineRule="exact"/>
        <w:ind w:firstLine="240" w:firstLineChars="100"/>
        <w:rPr>
          <w:rFonts w:hint="eastAsia" w:ascii="宋体" w:hAnsi="宋体" w:eastAsia="宋体" w:cs="宋体"/>
          <w:bCs/>
          <w:sz w:val="24"/>
          <w:lang w:eastAsia="zh-CN"/>
        </w:rPr>
      </w:pPr>
      <w:r>
        <w:rPr>
          <w:rFonts w:hint="eastAsia" w:ascii="宋体" w:hAnsi="宋体" w:eastAsia="宋体" w:cs="宋体"/>
          <w:bCs/>
          <w:sz w:val="24"/>
          <w:lang w:val="en-US" w:eastAsia="zh-CN"/>
        </w:rPr>
        <w:t>5</w:t>
      </w:r>
      <w:r>
        <w:rPr>
          <w:rFonts w:hint="eastAsia" w:ascii="宋体" w:hAnsi="宋体" w:eastAsia="宋体" w:cs="宋体"/>
          <w:bCs/>
          <w:sz w:val="24"/>
        </w:rPr>
        <w:t>.6 中标人应就设备的安装、调试、操作、维修、保养等对采购人技术人员进行培训，培训人员须为设备制造厂家的专业售后人员</w:t>
      </w:r>
      <w:r>
        <w:rPr>
          <w:rFonts w:hint="eastAsia" w:ascii="宋体" w:hAnsi="宋体" w:eastAsia="宋体" w:cs="宋体"/>
          <w:bCs/>
          <w:sz w:val="24"/>
          <w:lang w:eastAsia="zh-CN"/>
        </w:rPr>
        <w:t>。</w:t>
      </w:r>
    </w:p>
    <w:bookmarkEnd w:id="2"/>
    <w:p w14:paraId="571A0DAE">
      <w:pPr>
        <w:keepNext w:val="0"/>
        <w:keepLines w:val="0"/>
        <w:pageBreakBefore w:val="0"/>
        <w:numPr>
          <w:ilvl w:val="255"/>
          <w:numId w:val="0"/>
        </w:numPr>
        <w:wordWrap/>
        <w:overflowPunct/>
        <w:topLinePunct w:val="0"/>
        <w:bidi w:val="0"/>
        <w:adjustRightInd w:val="0"/>
        <w:snapToGrid w:val="0"/>
        <w:spacing w:line="500" w:lineRule="exact"/>
        <w:ind w:firstLine="480" w:firstLineChars="200"/>
        <w:jc w:val="left"/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技术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要求：</w:t>
      </w:r>
    </w:p>
    <w:p w14:paraId="625F9F80">
      <w:pPr>
        <w:keepNext w:val="0"/>
        <w:keepLines w:val="0"/>
        <w:pageBreakBefore w:val="0"/>
        <w:widowControl/>
        <w:numPr>
          <w:ilvl w:val="0"/>
          <w:numId w:val="3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textAlignment w:val="baseline"/>
        <w:outlineLvl w:val="0"/>
        <w:rPr>
          <w:rFonts w:hint="eastAsia" w:asciiTheme="minorEastAsia" w:hAnsiTheme="minorEastAsia" w:eastAsiaTheme="minorEastAsia" w:cstheme="minorEastAsia"/>
          <w:snapToGrid w:val="0"/>
          <w:color w:val="000000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Cs/>
          <w:sz w:val="24"/>
          <w:lang w:val="en-US" w:eastAsia="zh-CN"/>
        </w:rPr>
        <w:t>超净配药器</w:t>
      </w:r>
      <w:r>
        <w:rPr>
          <w:rFonts w:hint="eastAsia" w:asciiTheme="minorEastAsia" w:hAnsiTheme="minorEastAsia" w:eastAsiaTheme="minorEastAsia" w:cstheme="minorEastAsia"/>
          <w:snapToGrid w:val="0"/>
          <w:color w:val="000000"/>
          <w:kern w:val="0"/>
          <w:sz w:val="24"/>
          <w:szCs w:val="24"/>
          <w:lang w:val="en-US" w:eastAsia="zh-CN" w:bidi="ar-SA"/>
        </w:rPr>
        <w:t>用途：用于病区、护士站的静脉用药溶解配置；</w:t>
      </w:r>
    </w:p>
    <w:p w14:paraId="24354A69">
      <w:pPr>
        <w:keepNext w:val="0"/>
        <w:keepLines w:val="0"/>
        <w:pageBreakBefore w:val="0"/>
        <w:widowControl/>
        <w:numPr>
          <w:ilvl w:val="0"/>
          <w:numId w:val="3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textAlignment w:val="baseline"/>
        <w:outlineLvl w:val="0"/>
        <w:rPr>
          <w:rFonts w:hint="eastAsia" w:asciiTheme="minorEastAsia" w:hAnsiTheme="minorEastAsia" w:eastAsiaTheme="minorEastAsia" w:cstheme="minorEastAsia"/>
          <w:snapToGrid w:val="0"/>
          <w:color w:val="000000"/>
          <w:kern w:val="0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snapToGrid w:val="0"/>
          <w:color w:val="000000"/>
          <w:kern w:val="0"/>
          <w:sz w:val="24"/>
          <w:szCs w:val="24"/>
          <w:lang w:val="en-US" w:eastAsia="zh-CN" w:bidi="ar-SA"/>
        </w:rPr>
        <w:t>结构组成：具有</w:t>
      </w:r>
      <w:r>
        <w:rPr>
          <w:rFonts w:hint="eastAsia" w:asciiTheme="minorEastAsia" w:hAnsiTheme="minorEastAsia" w:eastAsiaTheme="minorEastAsia" w:cstheme="minorEastAsia"/>
          <w:spacing w:val="-1"/>
          <w:sz w:val="24"/>
          <w:szCs w:val="24"/>
        </w:rPr>
        <w:t>主机、手柄、</w:t>
      </w:r>
      <w:r>
        <w:rPr>
          <w:rFonts w:hint="eastAsia" w:asciiTheme="minorEastAsia" w:hAnsiTheme="minorEastAsia" w:eastAsiaTheme="minorEastAsia" w:cstheme="minorEastAsia"/>
          <w:snapToGrid w:val="0"/>
          <w:color w:val="000000"/>
          <w:kern w:val="0"/>
          <w:sz w:val="24"/>
          <w:szCs w:val="24"/>
          <w:lang w:val="en-US" w:eastAsia="zh-CN" w:bidi="ar-SA"/>
        </w:rPr>
        <w:t>高效过滤器、紫外线加臭氧灭菌装置，可为所含溶液提供一个局部密闭的百级洁净环境；</w:t>
      </w:r>
    </w:p>
    <w:p w14:paraId="4D578151">
      <w:pPr>
        <w:keepNext w:val="0"/>
        <w:keepLines w:val="0"/>
        <w:pageBreakBefore w:val="0"/>
        <w:widowControl/>
        <w:numPr>
          <w:ilvl w:val="0"/>
          <w:numId w:val="3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textAlignment w:val="baseline"/>
        <w:outlineLvl w:val="0"/>
        <w:rPr>
          <w:rFonts w:hint="eastAsia" w:asciiTheme="minorEastAsia" w:hAnsiTheme="minorEastAsia" w:eastAsiaTheme="minorEastAsia" w:cstheme="minorEastAsia"/>
          <w:snapToGrid w:val="0"/>
          <w:color w:val="000000"/>
          <w:kern w:val="0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snapToGrid w:val="0"/>
          <w:color w:val="000000"/>
          <w:kern w:val="0"/>
          <w:sz w:val="24"/>
          <w:szCs w:val="24"/>
          <w:lang w:val="en-US" w:eastAsia="zh-CN" w:bidi="ar-SA"/>
        </w:rPr>
        <w:t>具备过滤空气的功能，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确保系统环境洁净度达到局部百级标准，使无芯杆注射器胶塞前进和</w:t>
      </w:r>
      <w:r>
        <w:rPr>
          <w:rFonts w:hint="eastAsia" w:asciiTheme="minorEastAsia" w:hAnsiTheme="minorEastAsia" w:eastAsiaTheme="minorEastAsia" w:cstheme="minorEastAsia"/>
          <w:spacing w:val="10"/>
          <w:sz w:val="24"/>
          <w:szCs w:val="24"/>
        </w:rPr>
        <w:t>后退</w:t>
      </w:r>
      <w:r>
        <w:rPr>
          <w:rFonts w:hint="eastAsia" w:asciiTheme="minorEastAsia" w:hAnsiTheme="minorEastAsia" w:eastAsiaTheme="minorEastAsia" w:cstheme="minorEastAsia"/>
          <w:spacing w:val="10"/>
          <w:sz w:val="24"/>
          <w:szCs w:val="24"/>
          <w:lang w:eastAsia="zh-CN"/>
        </w:rPr>
        <w:t>；</w:t>
      </w:r>
    </w:p>
    <w:p w14:paraId="6DF65905">
      <w:pPr>
        <w:pStyle w:val="38"/>
        <w:keepNext w:val="0"/>
        <w:keepLines w:val="0"/>
        <w:pageBreakBefore w:val="0"/>
        <w:widowControl/>
        <w:numPr>
          <w:ilvl w:val="0"/>
          <w:numId w:val="3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0" w:leftChars="0" w:right="161" w:firstLine="0" w:firstLineChars="0"/>
        <w:textAlignment w:val="baseline"/>
        <w:rPr>
          <w:rFonts w:hint="eastAsia" w:asciiTheme="minorEastAsia" w:hAnsiTheme="minorEastAsia" w:eastAsiaTheme="minorEastAsia" w:cstheme="minorEastAsia"/>
          <w:spacing w:val="-5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pacing w:val="10"/>
          <w:sz w:val="24"/>
          <w:szCs w:val="24"/>
          <w:lang w:val="en-US" w:eastAsia="zh-CN"/>
        </w:rPr>
        <w:t>高效过滤器洁净度要求：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局部百级(≥0.3μm悬浮粒子不超</w:t>
      </w:r>
      <w:r>
        <w:rPr>
          <w:rFonts w:hint="eastAsia" w:asciiTheme="minorEastAsia" w:hAnsiTheme="minorEastAsia" w:eastAsiaTheme="minorEastAsia" w:cstheme="minorEastAsia"/>
          <w:spacing w:val="4"/>
          <w:sz w:val="24"/>
          <w:szCs w:val="24"/>
        </w:rPr>
        <w:t>过10</w:t>
      </w:r>
      <w:r>
        <w:rPr>
          <w:rFonts w:hint="eastAsia" w:asciiTheme="minorEastAsia" w:hAnsiTheme="minorEastAsia" w:eastAsiaTheme="minorEastAsia" w:cstheme="minorEastAsia"/>
          <w:spacing w:val="4"/>
          <w:sz w:val="24"/>
          <w:szCs w:val="24"/>
          <w:lang w:val="en-US" w:eastAsia="zh-CN"/>
        </w:rPr>
        <w:t>0</w:t>
      </w:r>
      <w:r>
        <w:rPr>
          <w:rFonts w:hint="eastAsia" w:asciiTheme="minorEastAsia" w:hAnsiTheme="minorEastAsia" w:eastAsiaTheme="minorEastAsia" w:cstheme="minorEastAsia"/>
          <w:spacing w:val="4"/>
          <w:sz w:val="24"/>
          <w:szCs w:val="24"/>
        </w:rPr>
        <w:t>00个/m³,≥0.55μm的悬浮粒子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不超</w:t>
      </w:r>
      <w:r>
        <w:rPr>
          <w:rFonts w:hint="eastAsia" w:asciiTheme="minorEastAsia" w:hAnsiTheme="minorEastAsia" w:eastAsiaTheme="minorEastAsia" w:cstheme="minorEastAsia"/>
          <w:spacing w:val="4"/>
          <w:sz w:val="24"/>
          <w:szCs w:val="24"/>
        </w:rPr>
        <w:t>过</w:t>
      </w:r>
      <w:r>
        <w:rPr>
          <w:rFonts w:hint="eastAsia" w:asciiTheme="minorEastAsia" w:hAnsiTheme="minorEastAsia" w:eastAsiaTheme="minorEastAsia" w:cstheme="minorEastAsia"/>
          <w:spacing w:val="4"/>
          <w:sz w:val="24"/>
          <w:szCs w:val="24"/>
          <w:lang w:val="en-US" w:eastAsia="zh-CN"/>
        </w:rPr>
        <w:t>4000</w:t>
      </w:r>
      <w:r>
        <w:rPr>
          <w:rFonts w:hint="eastAsia" w:asciiTheme="minorEastAsia" w:hAnsiTheme="minorEastAsia" w:eastAsiaTheme="minorEastAsia" w:cstheme="minorEastAsia"/>
          <w:spacing w:val="-5"/>
          <w:sz w:val="24"/>
          <w:szCs w:val="24"/>
        </w:rPr>
        <w:t>个</w:t>
      </w:r>
      <w:r>
        <w:rPr>
          <w:rFonts w:hint="eastAsia" w:asciiTheme="minorEastAsia" w:hAnsiTheme="minorEastAsia" w:eastAsiaTheme="minorEastAsia" w:cstheme="minorEastAsia"/>
          <w:spacing w:val="-42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-5"/>
          <w:sz w:val="24"/>
          <w:szCs w:val="24"/>
        </w:rPr>
        <w:t>/</w:t>
      </w:r>
      <w:r>
        <w:rPr>
          <w:rFonts w:hint="eastAsia" w:asciiTheme="minorEastAsia" w:hAnsiTheme="minorEastAsia" w:eastAsiaTheme="minorEastAsia" w:cstheme="minorEastAsia"/>
          <w:spacing w:val="-48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-5"/>
          <w:sz w:val="24"/>
          <w:szCs w:val="24"/>
        </w:rPr>
        <w:t>m</w:t>
      </w:r>
      <w:r>
        <w:rPr>
          <w:rFonts w:hint="eastAsia" w:asciiTheme="minorEastAsia" w:hAnsiTheme="minorEastAsia" w:eastAsiaTheme="minorEastAsia" w:cstheme="minorEastAsia"/>
          <w:spacing w:val="-45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pacing w:val="-5"/>
          <w:sz w:val="24"/>
          <w:szCs w:val="24"/>
        </w:rPr>
        <w:t>³</w:t>
      </w:r>
      <w:r>
        <w:rPr>
          <w:rFonts w:hint="eastAsia" w:asciiTheme="minorEastAsia" w:hAnsiTheme="minorEastAsia" w:eastAsiaTheme="minorEastAsia" w:cstheme="minorEastAsia"/>
          <w:spacing w:val="-5"/>
          <w:sz w:val="24"/>
          <w:szCs w:val="24"/>
          <w:lang w:eastAsia="zh-CN"/>
        </w:rPr>
        <w:t>；</w:t>
      </w:r>
    </w:p>
    <w:p w14:paraId="18E77170">
      <w:pPr>
        <w:pStyle w:val="38"/>
        <w:keepNext w:val="0"/>
        <w:keepLines w:val="0"/>
        <w:pageBreakBefore w:val="0"/>
        <w:widowControl/>
        <w:numPr>
          <w:ilvl w:val="0"/>
          <w:numId w:val="3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0" w:leftChars="0" w:right="161" w:firstLine="0" w:firstLineChars="0"/>
        <w:textAlignment w:val="baseline"/>
        <w:rPr>
          <w:rFonts w:hint="eastAsia" w:asciiTheme="minorEastAsia" w:hAnsiTheme="minorEastAsia" w:eastAsiaTheme="minorEastAsia" w:cstheme="minorEastAsia"/>
          <w:snapToGrid w:val="0"/>
          <w:color w:val="000000"/>
          <w:kern w:val="0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spacing w:val="-6"/>
          <w:sz w:val="24"/>
          <w:szCs w:val="24"/>
        </w:rPr>
        <w:t>净化过滤器</w:t>
      </w:r>
      <w:r>
        <w:rPr>
          <w:rFonts w:hint="eastAsia" w:asciiTheme="minorEastAsia" w:hAnsiTheme="minorEastAsia" w:eastAsiaTheme="minorEastAsia" w:cstheme="minorEastAsia"/>
          <w:spacing w:val="-6"/>
          <w:sz w:val="24"/>
          <w:szCs w:val="24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spacing w:val="-6"/>
          <w:sz w:val="24"/>
          <w:szCs w:val="24"/>
          <w:lang w:val="en-US" w:eastAsia="zh-CN"/>
        </w:rPr>
        <w:t>具有</w:t>
      </w:r>
      <w:r>
        <w:rPr>
          <w:rFonts w:hint="eastAsia" w:asciiTheme="minorEastAsia" w:hAnsiTheme="minorEastAsia" w:eastAsiaTheme="minorEastAsia" w:cstheme="minorEastAsia"/>
          <w:spacing w:val="-6"/>
          <w:sz w:val="24"/>
          <w:szCs w:val="24"/>
        </w:rPr>
        <w:t>百级净化过滤器</w:t>
      </w:r>
      <w:r>
        <w:rPr>
          <w:rFonts w:hint="eastAsia" w:asciiTheme="minorEastAsia" w:hAnsiTheme="minorEastAsia" w:eastAsiaTheme="minorEastAsia" w:cstheme="minorEastAsia"/>
          <w:spacing w:val="-6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pacing w:val="-6"/>
          <w:sz w:val="24"/>
          <w:szCs w:val="24"/>
        </w:rPr>
        <w:t>可去除99.99%的微粒及微生物</w:t>
      </w:r>
      <w:r>
        <w:rPr>
          <w:rFonts w:hint="eastAsia" w:asciiTheme="minorEastAsia" w:hAnsiTheme="minorEastAsia" w:eastAsiaTheme="minorEastAsia" w:cstheme="minorEastAsia"/>
          <w:spacing w:val="-6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pacing w:val="-3"/>
          <w:sz w:val="24"/>
          <w:szCs w:val="24"/>
        </w:rPr>
        <w:t>配药器高效过滤器出风口达到百级标准)</w:t>
      </w:r>
      <w:r>
        <w:rPr>
          <w:rFonts w:hint="eastAsia" w:asciiTheme="minorEastAsia" w:hAnsiTheme="minorEastAsia" w:eastAsiaTheme="minorEastAsia" w:cstheme="minorEastAsia"/>
          <w:spacing w:val="-3"/>
          <w:sz w:val="24"/>
          <w:szCs w:val="24"/>
          <w:lang w:eastAsia="zh-CN"/>
        </w:rPr>
        <w:t>；</w:t>
      </w:r>
    </w:p>
    <w:p w14:paraId="32A1CA1E">
      <w:pPr>
        <w:keepNext w:val="0"/>
        <w:keepLines w:val="0"/>
        <w:pageBreakBefore w:val="0"/>
        <w:widowControl/>
        <w:numPr>
          <w:ilvl w:val="0"/>
          <w:numId w:val="3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textAlignment w:val="baseline"/>
        <w:outlineLvl w:val="0"/>
        <w:rPr>
          <w:rFonts w:hint="eastAsia" w:asciiTheme="minorEastAsia" w:hAnsiTheme="minorEastAsia" w:eastAsiaTheme="minorEastAsia" w:cstheme="minorEastAsia"/>
          <w:snapToGrid w:val="0"/>
          <w:color w:val="000000"/>
          <w:kern w:val="0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高效过滤器与无芯杆溶药注射器连接处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须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密闭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；</w:t>
      </w:r>
    </w:p>
    <w:p w14:paraId="1A9E243C">
      <w:pPr>
        <w:keepNext w:val="0"/>
        <w:keepLines w:val="0"/>
        <w:pageBreakBefore w:val="0"/>
        <w:widowControl/>
        <w:numPr>
          <w:ilvl w:val="0"/>
          <w:numId w:val="3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textAlignment w:val="baseline"/>
        <w:outlineLvl w:val="0"/>
        <w:rPr>
          <w:rFonts w:hint="eastAsia" w:asciiTheme="minorEastAsia" w:hAnsiTheme="minorEastAsia" w:eastAsiaTheme="minorEastAsia" w:cstheme="minorEastAsia"/>
          <w:snapToGrid w:val="0"/>
          <w:color w:val="000000"/>
          <w:kern w:val="0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snapToGrid w:val="0"/>
          <w:color w:val="000000"/>
          <w:kern w:val="0"/>
          <w:sz w:val="24"/>
          <w:szCs w:val="24"/>
          <w:lang w:val="en-US" w:eastAsia="zh-CN" w:bidi="ar-SA"/>
        </w:rPr>
        <w:t>高效过滤滤芯需定期更换；</w:t>
      </w:r>
    </w:p>
    <w:p w14:paraId="5527CD4B">
      <w:pPr>
        <w:keepNext w:val="0"/>
        <w:keepLines w:val="0"/>
        <w:pageBreakBefore w:val="0"/>
        <w:widowControl/>
        <w:numPr>
          <w:ilvl w:val="0"/>
          <w:numId w:val="3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textAlignment w:val="baseline"/>
        <w:outlineLvl w:val="0"/>
        <w:rPr>
          <w:rFonts w:hint="eastAsia" w:asciiTheme="minorEastAsia" w:hAnsiTheme="minorEastAsia" w:eastAsiaTheme="minorEastAsia" w:cstheme="minorEastAsia"/>
          <w:snapToGrid w:val="0"/>
          <w:color w:val="000000"/>
          <w:kern w:val="0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snapToGrid w:val="0"/>
          <w:color w:val="000000"/>
          <w:kern w:val="0"/>
          <w:sz w:val="24"/>
          <w:szCs w:val="24"/>
          <w:lang w:val="en-US" w:eastAsia="zh-CN" w:bidi="ar-SA"/>
        </w:rPr>
        <w:t>溶药模式：具备高频和低频溶药模式；</w:t>
      </w:r>
    </w:p>
    <w:p w14:paraId="196A0600">
      <w:pPr>
        <w:keepNext w:val="0"/>
        <w:keepLines w:val="0"/>
        <w:pageBreakBefore w:val="0"/>
        <w:widowControl/>
        <w:numPr>
          <w:ilvl w:val="0"/>
          <w:numId w:val="3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textAlignment w:val="baseline"/>
        <w:outlineLvl w:val="0"/>
        <w:rPr>
          <w:rFonts w:hint="eastAsia" w:asciiTheme="minorEastAsia" w:hAnsiTheme="minorEastAsia" w:eastAsiaTheme="minorEastAsia" w:cstheme="minorEastAsia"/>
          <w:snapToGrid w:val="0"/>
          <w:color w:val="000000"/>
          <w:kern w:val="0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snapToGrid w:val="0"/>
          <w:color w:val="000000"/>
          <w:kern w:val="0"/>
          <w:sz w:val="24"/>
          <w:szCs w:val="24"/>
          <w:lang w:val="en-US" w:eastAsia="zh-CN" w:bidi="ar-SA"/>
        </w:rPr>
        <w:t>具有系统开机自净功能。</w:t>
      </w:r>
    </w:p>
    <w:p w14:paraId="78A79956">
      <w:pPr>
        <w:keepNext w:val="0"/>
        <w:keepLines w:val="0"/>
        <w:pageBreakBefore w:val="0"/>
        <w:widowControl/>
        <w:numPr>
          <w:ilvl w:val="0"/>
          <w:numId w:val="3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textAlignment w:val="baseline"/>
        <w:outlineLvl w:val="0"/>
        <w:rPr>
          <w:rFonts w:hint="default" w:ascii="宋体" w:hAnsi="宋体" w:eastAsia="宋体" w:cs="宋体"/>
          <w:snapToGrid w:val="0"/>
          <w:color w:val="000000"/>
          <w:kern w:val="0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snapToGrid w:val="0"/>
          <w:color w:val="000000"/>
          <w:kern w:val="0"/>
          <w:sz w:val="24"/>
          <w:szCs w:val="24"/>
          <w:lang w:val="en-US" w:eastAsia="zh-CN" w:bidi="ar-SA"/>
        </w:rPr>
        <w:t>质保期：不低于2年。</w:t>
      </w:r>
    </w:p>
    <w:p w14:paraId="567EE0D0">
      <w:pPr>
        <w:spacing w:line="440" w:lineRule="exact"/>
        <w:jc w:val="left"/>
        <w:rPr>
          <w:rFonts w:ascii="宋体" w:hAnsi="宋体"/>
          <w:bCs/>
          <w:sz w:val="24"/>
        </w:rPr>
      </w:pPr>
    </w:p>
    <w:p w14:paraId="491080C6">
      <w:pPr>
        <w:spacing w:line="440" w:lineRule="exact"/>
        <w:jc w:val="left"/>
        <w:rPr>
          <w:rFonts w:ascii="宋体" w:hAnsi="宋体"/>
          <w:bCs/>
          <w:sz w:val="24"/>
        </w:rPr>
      </w:pPr>
    </w:p>
    <w:p w14:paraId="3B2B81A4">
      <w:pPr>
        <w:spacing w:line="440" w:lineRule="exact"/>
        <w:jc w:val="left"/>
        <w:rPr>
          <w:rFonts w:ascii="宋体" w:hAnsi="宋体"/>
          <w:bCs/>
          <w:sz w:val="24"/>
        </w:rPr>
      </w:pPr>
    </w:p>
    <w:p w14:paraId="5984E116">
      <w:pPr>
        <w:spacing w:line="440" w:lineRule="exact"/>
        <w:jc w:val="left"/>
        <w:rPr>
          <w:rFonts w:ascii="宋体" w:hAnsi="宋体"/>
          <w:bCs/>
          <w:sz w:val="24"/>
        </w:rPr>
      </w:pPr>
    </w:p>
    <w:p w14:paraId="069AA7AE">
      <w:pPr>
        <w:spacing w:line="440" w:lineRule="exact"/>
        <w:jc w:val="left"/>
        <w:rPr>
          <w:rFonts w:ascii="宋体" w:hAnsi="宋体"/>
          <w:bCs/>
          <w:sz w:val="24"/>
        </w:rPr>
      </w:pPr>
    </w:p>
    <w:p w14:paraId="6E1504AE">
      <w:pPr>
        <w:spacing w:line="440" w:lineRule="exact"/>
        <w:jc w:val="left"/>
        <w:rPr>
          <w:rFonts w:ascii="宋体" w:hAnsi="宋体"/>
          <w:bCs/>
          <w:sz w:val="24"/>
        </w:rPr>
      </w:pPr>
    </w:p>
    <w:p w14:paraId="1A5E45F1">
      <w:pPr>
        <w:pStyle w:val="6"/>
      </w:pPr>
    </w:p>
    <w:p w14:paraId="44E938A0"/>
    <w:sectPr>
      <w:footerReference r:id="rId3" w:type="default"/>
      <w:pgSz w:w="11906" w:h="16838"/>
      <w:pgMar w:top="1417" w:right="850" w:bottom="1417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ms Rmn">
    <w:altName w:val="Segoe Print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1B7EC7">
    <w:pPr>
      <w:pStyle w:val="11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23280452"/>
                          </w:sdtPr>
                          <w:sdtContent>
                            <w:p w14:paraId="5C9A1822">
                              <w:pPr>
                                <w:pStyle w:val="11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4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402E5008">
                          <w:pPr>
                            <w:pStyle w:val="6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</w:sdtPr>
                    <w:sdtContent>
                      <w:p w14:paraId="5C9A1822">
                        <w:pPr>
                          <w:pStyle w:val="11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4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 w14:paraId="402E5008">
                    <w:pPr>
                      <w:pStyle w:val="6"/>
                    </w:pPr>
                  </w:p>
                </w:txbxContent>
              </v:textbox>
            </v:shape>
          </w:pict>
        </mc:Fallback>
      </mc:AlternateContent>
    </w:r>
  </w:p>
  <w:p w14:paraId="105FBAAE">
    <w:pPr>
      <w:pStyle w:val="11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AA49D51"/>
    <w:multiLevelType w:val="singleLevel"/>
    <w:tmpl w:val="9AA49D5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AD3347B1"/>
    <w:multiLevelType w:val="singleLevel"/>
    <w:tmpl w:val="AD3347B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644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644"/>
        </w:tabs>
      </w:pPr>
      <w:rPr>
        <w:rFonts w:cs="Times New Roman"/>
      </w:rPr>
    </w:lvl>
    <w:lvl w:ilvl="4" w:tentative="0">
      <w:start w:val="0"/>
      <w:numFmt w:val="decimal"/>
      <w:pStyle w:val="33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Y2MjE2NWRiNWExODdlZTQ4NmVmMGRlZmE1OTlkMzcifQ=="/>
  </w:docVars>
  <w:rsids>
    <w:rsidRoot w:val="00E22E45"/>
    <w:rsid w:val="0000081B"/>
    <w:rsid w:val="000022D7"/>
    <w:rsid w:val="00031685"/>
    <w:rsid w:val="00031ACC"/>
    <w:rsid w:val="00050ED4"/>
    <w:rsid w:val="00070605"/>
    <w:rsid w:val="000820D3"/>
    <w:rsid w:val="00083B06"/>
    <w:rsid w:val="00085A50"/>
    <w:rsid w:val="000B2E43"/>
    <w:rsid w:val="000C4153"/>
    <w:rsid w:val="000E0301"/>
    <w:rsid w:val="000E5E28"/>
    <w:rsid w:val="00100D59"/>
    <w:rsid w:val="00112B47"/>
    <w:rsid w:val="00113045"/>
    <w:rsid w:val="00133CBD"/>
    <w:rsid w:val="00142F57"/>
    <w:rsid w:val="00146B66"/>
    <w:rsid w:val="00147CDF"/>
    <w:rsid w:val="00173955"/>
    <w:rsid w:val="00192D51"/>
    <w:rsid w:val="001B1C6A"/>
    <w:rsid w:val="001B3AAF"/>
    <w:rsid w:val="001B6D7E"/>
    <w:rsid w:val="001D6295"/>
    <w:rsid w:val="001E6111"/>
    <w:rsid w:val="001F75BE"/>
    <w:rsid w:val="0020468A"/>
    <w:rsid w:val="00254C6F"/>
    <w:rsid w:val="002554A9"/>
    <w:rsid w:val="0025732E"/>
    <w:rsid w:val="00261EBA"/>
    <w:rsid w:val="00270B70"/>
    <w:rsid w:val="002907C5"/>
    <w:rsid w:val="002967D8"/>
    <w:rsid w:val="002B32E9"/>
    <w:rsid w:val="002D170C"/>
    <w:rsid w:val="002D1CD4"/>
    <w:rsid w:val="002D288E"/>
    <w:rsid w:val="002E0CDE"/>
    <w:rsid w:val="002E2DA8"/>
    <w:rsid w:val="002E2DBB"/>
    <w:rsid w:val="002E6E39"/>
    <w:rsid w:val="00310151"/>
    <w:rsid w:val="003152CA"/>
    <w:rsid w:val="0031681B"/>
    <w:rsid w:val="003228B1"/>
    <w:rsid w:val="00326EBC"/>
    <w:rsid w:val="00347EC8"/>
    <w:rsid w:val="0037315A"/>
    <w:rsid w:val="00374632"/>
    <w:rsid w:val="003A266A"/>
    <w:rsid w:val="003C3777"/>
    <w:rsid w:val="003C7E26"/>
    <w:rsid w:val="00400D0C"/>
    <w:rsid w:val="00402580"/>
    <w:rsid w:val="004228CC"/>
    <w:rsid w:val="00457822"/>
    <w:rsid w:val="00485E5A"/>
    <w:rsid w:val="0049770D"/>
    <w:rsid w:val="004A6404"/>
    <w:rsid w:val="004B54FE"/>
    <w:rsid w:val="004C17CB"/>
    <w:rsid w:val="004E2FA8"/>
    <w:rsid w:val="004F73FC"/>
    <w:rsid w:val="005039E6"/>
    <w:rsid w:val="0050470A"/>
    <w:rsid w:val="005129DE"/>
    <w:rsid w:val="00533581"/>
    <w:rsid w:val="00534778"/>
    <w:rsid w:val="005424FA"/>
    <w:rsid w:val="00563D2F"/>
    <w:rsid w:val="005E4F21"/>
    <w:rsid w:val="005E73EB"/>
    <w:rsid w:val="005F27A2"/>
    <w:rsid w:val="005F539D"/>
    <w:rsid w:val="00614CB0"/>
    <w:rsid w:val="00624589"/>
    <w:rsid w:val="0063668E"/>
    <w:rsid w:val="00636BC4"/>
    <w:rsid w:val="0064563C"/>
    <w:rsid w:val="006473E7"/>
    <w:rsid w:val="00674952"/>
    <w:rsid w:val="006762B3"/>
    <w:rsid w:val="00677CB1"/>
    <w:rsid w:val="006A2066"/>
    <w:rsid w:val="006B66D9"/>
    <w:rsid w:val="006C0796"/>
    <w:rsid w:val="006D397F"/>
    <w:rsid w:val="006D472D"/>
    <w:rsid w:val="006D6260"/>
    <w:rsid w:val="006F1148"/>
    <w:rsid w:val="006F1471"/>
    <w:rsid w:val="00737442"/>
    <w:rsid w:val="00740925"/>
    <w:rsid w:val="007418B4"/>
    <w:rsid w:val="00744AEE"/>
    <w:rsid w:val="007533D4"/>
    <w:rsid w:val="00755EEA"/>
    <w:rsid w:val="00781B04"/>
    <w:rsid w:val="007C271B"/>
    <w:rsid w:val="007E14AF"/>
    <w:rsid w:val="007F3F42"/>
    <w:rsid w:val="007F7B29"/>
    <w:rsid w:val="00800C36"/>
    <w:rsid w:val="00805911"/>
    <w:rsid w:val="0080751B"/>
    <w:rsid w:val="00823E53"/>
    <w:rsid w:val="00824B58"/>
    <w:rsid w:val="00837BCE"/>
    <w:rsid w:val="00862AFA"/>
    <w:rsid w:val="0088345E"/>
    <w:rsid w:val="0088593D"/>
    <w:rsid w:val="008A0C91"/>
    <w:rsid w:val="008B08A0"/>
    <w:rsid w:val="008C0943"/>
    <w:rsid w:val="008C7F30"/>
    <w:rsid w:val="008D7F90"/>
    <w:rsid w:val="008E3A0A"/>
    <w:rsid w:val="008E42BF"/>
    <w:rsid w:val="008F126A"/>
    <w:rsid w:val="008F79EC"/>
    <w:rsid w:val="009A563C"/>
    <w:rsid w:val="009C1FC5"/>
    <w:rsid w:val="009C3820"/>
    <w:rsid w:val="009C55DC"/>
    <w:rsid w:val="00A12BB5"/>
    <w:rsid w:val="00A218E6"/>
    <w:rsid w:val="00A22775"/>
    <w:rsid w:val="00A27486"/>
    <w:rsid w:val="00A41F0F"/>
    <w:rsid w:val="00A54F3C"/>
    <w:rsid w:val="00A57FD0"/>
    <w:rsid w:val="00A716F4"/>
    <w:rsid w:val="00A73043"/>
    <w:rsid w:val="00AA098A"/>
    <w:rsid w:val="00AA66BC"/>
    <w:rsid w:val="00AD0AB5"/>
    <w:rsid w:val="00AD7793"/>
    <w:rsid w:val="00B0488C"/>
    <w:rsid w:val="00B06CA9"/>
    <w:rsid w:val="00B12D10"/>
    <w:rsid w:val="00B140BC"/>
    <w:rsid w:val="00B21A3D"/>
    <w:rsid w:val="00B25892"/>
    <w:rsid w:val="00B33735"/>
    <w:rsid w:val="00B6313B"/>
    <w:rsid w:val="00B7786F"/>
    <w:rsid w:val="00B77C92"/>
    <w:rsid w:val="00B955DF"/>
    <w:rsid w:val="00BD4BA7"/>
    <w:rsid w:val="00BE1621"/>
    <w:rsid w:val="00BE40F8"/>
    <w:rsid w:val="00C05202"/>
    <w:rsid w:val="00C15486"/>
    <w:rsid w:val="00C22F6A"/>
    <w:rsid w:val="00C410D4"/>
    <w:rsid w:val="00C56658"/>
    <w:rsid w:val="00C6524B"/>
    <w:rsid w:val="00C65737"/>
    <w:rsid w:val="00C71D2D"/>
    <w:rsid w:val="00C72768"/>
    <w:rsid w:val="00C968E7"/>
    <w:rsid w:val="00C9710A"/>
    <w:rsid w:val="00CB1223"/>
    <w:rsid w:val="00CB7B28"/>
    <w:rsid w:val="00CC3CD6"/>
    <w:rsid w:val="00D0311C"/>
    <w:rsid w:val="00D35E9A"/>
    <w:rsid w:val="00D3613F"/>
    <w:rsid w:val="00D409AB"/>
    <w:rsid w:val="00D57AE8"/>
    <w:rsid w:val="00D8582B"/>
    <w:rsid w:val="00D915EF"/>
    <w:rsid w:val="00DA704E"/>
    <w:rsid w:val="00DC15A0"/>
    <w:rsid w:val="00DF21EC"/>
    <w:rsid w:val="00E149D3"/>
    <w:rsid w:val="00E16486"/>
    <w:rsid w:val="00E22E45"/>
    <w:rsid w:val="00E55820"/>
    <w:rsid w:val="00E72D00"/>
    <w:rsid w:val="00E92CCE"/>
    <w:rsid w:val="00EC101A"/>
    <w:rsid w:val="00ED2A8E"/>
    <w:rsid w:val="00F127B5"/>
    <w:rsid w:val="00F15292"/>
    <w:rsid w:val="00F30A99"/>
    <w:rsid w:val="00F54FEB"/>
    <w:rsid w:val="00F56E20"/>
    <w:rsid w:val="00F74314"/>
    <w:rsid w:val="00F7479E"/>
    <w:rsid w:val="00FA7E20"/>
    <w:rsid w:val="00FB4AF6"/>
    <w:rsid w:val="00FC21B8"/>
    <w:rsid w:val="00FD6E21"/>
    <w:rsid w:val="00FE7076"/>
    <w:rsid w:val="00FF0E95"/>
    <w:rsid w:val="01261D95"/>
    <w:rsid w:val="01AF66BC"/>
    <w:rsid w:val="022C5D48"/>
    <w:rsid w:val="02967325"/>
    <w:rsid w:val="02DA5839"/>
    <w:rsid w:val="0343669F"/>
    <w:rsid w:val="03D9731E"/>
    <w:rsid w:val="04557B19"/>
    <w:rsid w:val="04682E6D"/>
    <w:rsid w:val="049912AC"/>
    <w:rsid w:val="04C61298"/>
    <w:rsid w:val="05A83606"/>
    <w:rsid w:val="05F62118"/>
    <w:rsid w:val="06380241"/>
    <w:rsid w:val="069F560A"/>
    <w:rsid w:val="07973EE6"/>
    <w:rsid w:val="07C94BE1"/>
    <w:rsid w:val="07DE6769"/>
    <w:rsid w:val="07E00A0F"/>
    <w:rsid w:val="087F78BA"/>
    <w:rsid w:val="095A6A56"/>
    <w:rsid w:val="09CA2C87"/>
    <w:rsid w:val="09E54036"/>
    <w:rsid w:val="0A325ADB"/>
    <w:rsid w:val="0B216CF4"/>
    <w:rsid w:val="0B353F6E"/>
    <w:rsid w:val="0C580A4E"/>
    <w:rsid w:val="0E237614"/>
    <w:rsid w:val="0EF652A0"/>
    <w:rsid w:val="0F26150C"/>
    <w:rsid w:val="0F3436E0"/>
    <w:rsid w:val="0F6D5B99"/>
    <w:rsid w:val="0FAA6A76"/>
    <w:rsid w:val="0FEE4D13"/>
    <w:rsid w:val="1061346A"/>
    <w:rsid w:val="12100E62"/>
    <w:rsid w:val="12542DDE"/>
    <w:rsid w:val="137B38DC"/>
    <w:rsid w:val="146B53DF"/>
    <w:rsid w:val="151A349C"/>
    <w:rsid w:val="16115B7B"/>
    <w:rsid w:val="16AC0EAA"/>
    <w:rsid w:val="16D20FE6"/>
    <w:rsid w:val="17044079"/>
    <w:rsid w:val="17373CEB"/>
    <w:rsid w:val="17500414"/>
    <w:rsid w:val="177D1B56"/>
    <w:rsid w:val="182F4CA9"/>
    <w:rsid w:val="188C4A43"/>
    <w:rsid w:val="195C3707"/>
    <w:rsid w:val="1A286CB0"/>
    <w:rsid w:val="1B040AF0"/>
    <w:rsid w:val="1B7F6894"/>
    <w:rsid w:val="1B811C08"/>
    <w:rsid w:val="1C004A55"/>
    <w:rsid w:val="1C5D72C6"/>
    <w:rsid w:val="1DD80BF7"/>
    <w:rsid w:val="1E8B6382"/>
    <w:rsid w:val="1E9268BE"/>
    <w:rsid w:val="1EFB394F"/>
    <w:rsid w:val="2086495D"/>
    <w:rsid w:val="20F56432"/>
    <w:rsid w:val="21012DCF"/>
    <w:rsid w:val="218E2A3A"/>
    <w:rsid w:val="22246CB4"/>
    <w:rsid w:val="228D370C"/>
    <w:rsid w:val="23C96556"/>
    <w:rsid w:val="23D504F4"/>
    <w:rsid w:val="23E24D51"/>
    <w:rsid w:val="246F59E3"/>
    <w:rsid w:val="24DA7466"/>
    <w:rsid w:val="256746D6"/>
    <w:rsid w:val="26B72586"/>
    <w:rsid w:val="27807BE0"/>
    <w:rsid w:val="29DA40B8"/>
    <w:rsid w:val="29FD5AAD"/>
    <w:rsid w:val="2B4F2CEF"/>
    <w:rsid w:val="2BBC1282"/>
    <w:rsid w:val="2C723060"/>
    <w:rsid w:val="2CF35149"/>
    <w:rsid w:val="2DC8218D"/>
    <w:rsid w:val="2E102ABB"/>
    <w:rsid w:val="2F5659F3"/>
    <w:rsid w:val="2FE55F1B"/>
    <w:rsid w:val="30191AD6"/>
    <w:rsid w:val="30FB7E9E"/>
    <w:rsid w:val="323325C4"/>
    <w:rsid w:val="324E0614"/>
    <w:rsid w:val="328B017F"/>
    <w:rsid w:val="3292324B"/>
    <w:rsid w:val="329342B5"/>
    <w:rsid w:val="32C1268D"/>
    <w:rsid w:val="35006E33"/>
    <w:rsid w:val="360B655D"/>
    <w:rsid w:val="3794592A"/>
    <w:rsid w:val="38B05953"/>
    <w:rsid w:val="38B745E0"/>
    <w:rsid w:val="393671C3"/>
    <w:rsid w:val="39D45C36"/>
    <w:rsid w:val="3A1640E8"/>
    <w:rsid w:val="3A8B6411"/>
    <w:rsid w:val="3B9D6276"/>
    <w:rsid w:val="3BFA37AC"/>
    <w:rsid w:val="3C937993"/>
    <w:rsid w:val="3D4663AF"/>
    <w:rsid w:val="3E8576EC"/>
    <w:rsid w:val="3F703160"/>
    <w:rsid w:val="3FC91C02"/>
    <w:rsid w:val="407C7408"/>
    <w:rsid w:val="411E528A"/>
    <w:rsid w:val="41936CCC"/>
    <w:rsid w:val="419E4D6E"/>
    <w:rsid w:val="41BD651D"/>
    <w:rsid w:val="423934A4"/>
    <w:rsid w:val="42621BDA"/>
    <w:rsid w:val="42C159A0"/>
    <w:rsid w:val="42E70D20"/>
    <w:rsid w:val="435B4FED"/>
    <w:rsid w:val="435C1AAA"/>
    <w:rsid w:val="43923A02"/>
    <w:rsid w:val="43B17106"/>
    <w:rsid w:val="44FF23DB"/>
    <w:rsid w:val="45DB5113"/>
    <w:rsid w:val="45FA22EB"/>
    <w:rsid w:val="460B369C"/>
    <w:rsid w:val="46986527"/>
    <w:rsid w:val="471F4DD5"/>
    <w:rsid w:val="48E65B64"/>
    <w:rsid w:val="490907D4"/>
    <w:rsid w:val="4931425C"/>
    <w:rsid w:val="49974FAF"/>
    <w:rsid w:val="49AC6DDF"/>
    <w:rsid w:val="4A7E1328"/>
    <w:rsid w:val="4B623F21"/>
    <w:rsid w:val="4D744DB2"/>
    <w:rsid w:val="4D7A092A"/>
    <w:rsid w:val="4EBA0170"/>
    <w:rsid w:val="4FBD2120"/>
    <w:rsid w:val="4FD65049"/>
    <w:rsid w:val="50CB7074"/>
    <w:rsid w:val="511A355D"/>
    <w:rsid w:val="513762CB"/>
    <w:rsid w:val="51950AC2"/>
    <w:rsid w:val="51DB5939"/>
    <w:rsid w:val="53AB2F4B"/>
    <w:rsid w:val="53E94A32"/>
    <w:rsid w:val="55B5596C"/>
    <w:rsid w:val="56D145E5"/>
    <w:rsid w:val="57003156"/>
    <w:rsid w:val="58885FE0"/>
    <w:rsid w:val="5905525D"/>
    <w:rsid w:val="59A61C5F"/>
    <w:rsid w:val="59D75EB0"/>
    <w:rsid w:val="5A2F5580"/>
    <w:rsid w:val="5A493582"/>
    <w:rsid w:val="5A7E7600"/>
    <w:rsid w:val="5AAD0A57"/>
    <w:rsid w:val="5BB61575"/>
    <w:rsid w:val="5D1024FF"/>
    <w:rsid w:val="5DBD70E7"/>
    <w:rsid w:val="5EA6596C"/>
    <w:rsid w:val="5ED65EE2"/>
    <w:rsid w:val="5F141197"/>
    <w:rsid w:val="6066691B"/>
    <w:rsid w:val="61F31C9B"/>
    <w:rsid w:val="62146F60"/>
    <w:rsid w:val="62F2388B"/>
    <w:rsid w:val="637B3DE7"/>
    <w:rsid w:val="63934138"/>
    <w:rsid w:val="63DB63D1"/>
    <w:rsid w:val="65E158A6"/>
    <w:rsid w:val="68E06C2C"/>
    <w:rsid w:val="68FD23E4"/>
    <w:rsid w:val="69B42AF7"/>
    <w:rsid w:val="69E41B3B"/>
    <w:rsid w:val="6B1F4104"/>
    <w:rsid w:val="6B4E5B09"/>
    <w:rsid w:val="6BBB0CC6"/>
    <w:rsid w:val="6C4838F4"/>
    <w:rsid w:val="6E582E85"/>
    <w:rsid w:val="6EB1235D"/>
    <w:rsid w:val="6F520277"/>
    <w:rsid w:val="6F9B6713"/>
    <w:rsid w:val="6FCB75A0"/>
    <w:rsid w:val="70BF5C7A"/>
    <w:rsid w:val="70DF1AC2"/>
    <w:rsid w:val="729A42C4"/>
    <w:rsid w:val="731E7004"/>
    <w:rsid w:val="73535858"/>
    <w:rsid w:val="73B97203"/>
    <w:rsid w:val="73BD7DF0"/>
    <w:rsid w:val="743215EF"/>
    <w:rsid w:val="75CD0D5C"/>
    <w:rsid w:val="764E0276"/>
    <w:rsid w:val="7807665E"/>
    <w:rsid w:val="7A016EB6"/>
    <w:rsid w:val="7B7754C9"/>
    <w:rsid w:val="7C26177D"/>
    <w:rsid w:val="7C8E374D"/>
    <w:rsid w:val="7D01208A"/>
    <w:rsid w:val="7DC56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7"/>
    <w:autoRedefine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200" w:firstLineChars="200"/>
    </w:pPr>
  </w:style>
  <w:style w:type="paragraph" w:styleId="5">
    <w:name w:val="annotation text"/>
    <w:basedOn w:val="1"/>
    <w:semiHidden/>
    <w:unhideWhenUsed/>
    <w:qFormat/>
    <w:uiPriority w:val="99"/>
    <w:pPr>
      <w:jc w:val="left"/>
    </w:pPr>
  </w:style>
  <w:style w:type="paragraph" w:styleId="6">
    <w:name w:val="Body Text"/>
    <w:basedOn w:val="1"/>
    <w:next w:val="7"/>
    <w:qFormat/>
    <w:uiPriority w:val="0"/>
    <w:pPr>
      <w:spacing w:after="120"/>
    </w:pPr>
  </w:style>
  <w:style w:type="paragraph" w:styleId="7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8">
    <w:name w:val="Plain Text"/>
    <w:basedOn w:val="1"/>
    <w:next w:val="1"/>
    <w:autoRedefine/>
    <w:qFormat/>
    <w:uiPriority w:val="0"/>
    <w:pPr>
      <w:autoSpaceDE w:val="0"/>
      <w:autoSpaceDN w:val="0"/>
      <w:adjustRightInd w:val="0"/>
    </w:pPr>
    <w:rPr>
      <w:rFonts w:ascii="宋体" w:hAnsi="Tms Rmn"/>
      <w:kern w:val="0"/>
      <w:szCs w:val="20"/>
    </w:rPr>
  </w:style>
  <w:style w:type="paragraph" w:styleId="9">
    <w:name w:val="Date"/>
    <w:basedOn w:val="1"/>
    <w:next w:val="1"/>
    <w:semiHidden/>
    <w:unhideWhenUsed/>
    <w:qFormat/>
    <w:uiPriority w:val="99"/>
    <w:pPr>
      <w:ind w:left="100" w:leftChars="2500"/>
    </w:pPr>
  </w:style>
  <w:style w:type="paragraph" w:styleId="10">
    <w:name w:val="Balloon Text"/>
    <w:basedOn w:val="1"/>
    <w:link w:val="30"/>
    <w:semiHidden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5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4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4">
    <w:name w:val="table of figures"/>
    <w:basedOn w:val="1"/>
    <w:next w:val="1"/>
    <w:unhideWhenUsed/>
    <w:qFormat/>
    <w:uiPriority w:val="99"/>
    <w:pPr>
      <w:ind w:left="200" w:leftChars="200" w:hanging="200" w:hangingChars="200"/>
    </w:pPr>
  </w:style>
  <w:style w:type="paragraph" w:styleId="15">
    <w:name w:val="Normal (Web)"/>
    <w:basedOn w:val="1"/>
    <w:autoRedefine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6">
    <w:name w:val="Body Text First Indent"/>
    <w:basedOn w:val="6"/>
    <w:autoRedefine/>
    <w:qFormat/>
    <w:uiPriority w:val="99"/>
    <w:pPr>
      <w:ind w:firstLine="420" w:firstLineChars="100"/>
    </w:pPr>
  </w:style>
  <w:style w:type="table" w:styleId="18">
    <w:name w:val="Table Grid"/>
    <w:basedOn w:val="17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Strong"/>
    <w:autoRedefine/>
    <w:qFormat/>
    <w:uiPriority w:val="0"/>
    <w:rPr>
      <w:b/>
      <w:bCs/>
    </w:rPr>
  </w:style>
  <w:style w:type="character" w:styleId="21">
    <w:name w:val="page number"/>
    <w:autoRedefine/>
    <w:qFormat/>
    <w:uiPriority w:val="0"/>
  </w:style>
  <w:style w:type="character" w:styleId="22">
    <w:name w:val="Hyperlink"/>
    <w:basedOn w:val="19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3">
    <w:name w:val="annotation reference"/>
    <w:basedOn w:val="19"/>
    <w:semiHidden/>
    <w:unhideWhenUsed/>
    <w:qFormat/>
    <w:uiPriority w:val="99"/>
    <w:rPr>
      <w:sz w:val="21"/>
      <w:szCs w:val="21"/>
    </w:rPr>
  </w:style>
  <w:style w:type="character" w:customStyle="1" w:styleId="24">
    <w:name w:val="页眉 字符"/>
    <w:basedOn w:val="19"/>
    <w:link w:val="12"/>
    <w:qFormat/>
    <w:uiPriority w:val="99"/>
    <w:rPr>
      <w:sz w:val="18"/>
      <w:szCs w:val="18"/>
    </w:rPr>
  </w:style>
  <w:style w:type="character" w:customStyle="1" w:styleId="25">
    <w:name w:val="页脚 字符"/>
    <w:basedOn w:val="19"/>
    <w:link w:val="11"/>
    <w:autoRedefine/>
    <w:qFormat/>
    <w:uiPriority w:val="99"/>
    <w:rPr>
      <w:sz w:val="18"/>
      <w:szCs w:val="18"/>
    </w:rPr>
  </w:style>
  <w:style w:type="paragraph" w:styleId="26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27">
    <w:name w:val="标题 2 字符"/>
    <w:basedOn w:val="19"/>
    <w:link w:val="3"/>
    <w:autoRedefine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8">
    <w:name w:val="列出段落 Char"/>
    <w:link w:val="29"/>
    <w:autoRedefine/>
    <w:qFormat/>
    <w:uiPriority w:val="34"/>
    <w:rPr>
      <w:rFonts w:ascii="宋体" w:hAnsi="宋体" w:cs="宋体"/>
      <w:sz w:val="24"/>
      <w:szCs w:val="24"/>
    </w:rPr>
  </w:style>
  <w:style w:type="paragraph" w:customStyle="1" w:styleId="29">
    <w:name w:val="列出段落1"/>
    <w:basedOn w:val="1"/>
    <w:link w:val="28"/>
    <w:autoRedefine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30">
    <w:name w:val="批注框文本 字符"/>
    <w:basedOn w:val="19"/>
    <w:link w:val="10"/>
    <w:autoRedefine/>
    <w:semiHidden/>
    <w:qFormat/>
    <w:uiPriority w:val="99"/>
    <w:rPr>
      <w:sz w:val="18"/>
      <w:szCs w:val="18"/>
    </w:rPr>
  </w:style>
  <w:style w:type="character" w:customStyle="1" w:styleId="31">
    <w:name w:val="font1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2">
    <w:name w:val="font0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paragraph" w:customStyle="1" w:styleId="33">
    <w:name w:val="标题 5（有编号）（绿盟科技）"/>
    <w:basedOn w:val="1"/>
    <w:next w:val="34"/>
    <w:autoRedefine/>
    <w:qFormat/>
    <w:uiPriority w:val="0"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34">
    <w:name w:val="正文（绿盟科技）"/>
    <w:autoRedefine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paragraph" w:customStyle="1" w:styleId="35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36">
    <w:name w:val="样式 首行缩进:  2 字符"/>
    <w:basedOn w:val="1"/>
    <w:autoRedefine/>
    <w:qFormat/>
    <w:uiPriority w:val="99"/>
    <w:pPr>
      <w:spacing w:line="400" w:lineRule="exact"/>
      <w:ind w:firstLine="200" w:firstLineChars="200"/>
    </w:pPr>
    <w:rPr>
      <w:rFonts w:cs="宋体"/>
      <w:sz w:val="24"/>
    </w:rPr>
  </w:style>
  <w:style w:type="paragraph" w:customStyle="1" w:styleId="37">
    <w:name w:val="null3"/>
    <w:hidden/>
    <w:qFormat/>
    <w:uiPriority w:val="0"/>
    <w:rPr>
      <w:rFonts w:hint="eastAsia" w:asciiTheme="minorHAnsi" w:hAnsiTheme="minorHAnsi" w:eastAsiaTheme="minorEastAsia" w:cstheme="minorBidi"/>
      <w:lang w:val="en-US" w:eastAsia="zh-Hans" w:bidi="ar-SA"/>
    </w:rPr>
  </w:style>
  <w:style w:type="paragraph" w:customStyle="1" w:styleId="38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905DA4-CE3F-42EF-A16E-3EEC595B68D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1619</Words>
  <Characters>1721</Characters>
  <Lines>51</Lines>
  <Paragraphs>14</Paragraphs>
  <TotalTime>85</TotalTime>
  <ScaleCrop>false</ScaleCrop>
  <LinksUpToDate>false</LinksUpToDate>
  <CharactersWithSpaces>1744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2024-03-13T04:29:00Z</dcterms:created>
  <dc:creator>HOUQING</dc:creator>
  <cp:lastModifiedBy>cs</cp:lastModifiedBy>
  <cp:lastPrinted>2024-07-10T01:39:00Z</cp:lastPrinted>
  <dcterms:modified xsi:type="dcterms:W3CDTF">2024-07-10T07:08:42Z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B37B774ADC094AD28AC7D38B3A8865E4_13</vt:lpwstr>
  </property>
  <property fmtid="{D5CDD505-2E9C-101B-9397-08002B2CF9AE}" pid="4" name="commondata">
    <vt:lpwstr>eyJoZGlkIjoiNGFhNjBkNjkwYzVkMGJlYjhkODdmZTMyNDY5NTA5YWUifQ==</vt:lpwstr>
  </property>
</Properties>
</file>