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一、项目简介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80" w:firstLineChars="200"/>
        <w:jc w:val="left"/>
        <w:textAlignment w:val="auto"/>
        <w:rPr>
          <w:rFonts w:hint="eastAsia"/>
          <w:highlight w:val="yellow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本项目拟采购满足临床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手腕带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、门诊导诊单、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药房配药单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等打印需求的条码打印机。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技术要求</w:t>
      </w:r>
    </w:p>
    <w:tbl>
      <w:tblPr>
        <w:tblStyle w:val="3"/>
        <w:tblW w:w="86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155"/>
        <w:gridCol w:w="4704"/>
        <w:gridCol w:w="763"/>
        <w:gridCol w:w="13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4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参数</w:t>
            </w: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3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预算</w:t>
            </w:r>
          </w:p>
          <w:p>
            <w:pPr>
              <w:jc w:val="center"/>
            </w:pPr>
            <w:r>
              <w:rPr>
                <w:rFonts w:hint="eastAsia"/>
              </w:rPr>
              <w:t>价格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标签条码打印机</w:t>
            </w:r>
          </w:p>
        </w:tc>
        <w:tc>
          <w:tcPr>
            <w:tcW w:w="4704" w:type="dxa"/>
            <w:tcBorders>
              <w:bottom w:val="single" w:color="auto" w:sz="4" w:space="0"/>
            </w:tcBorders>
            <w:vAlign w:val="center"/>
          </w:tcPr>
          <w:p/>
          <w:p>
            <w:pPr>
              <w:ind w:left="420" w:hanging="420" w:hangingChars="2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1.1产品类型： 标签条码打印机</w:t>
            </w:r>
          </w:p>
          <w:p>
            <w:pPr>
              <w:ind w:left="420" w:hanging="420" w:hangingChars="2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1.2分辨率 ：203dpi（8点/毫米）</w:t>
            </w:r>
          </w:p>
          <w:p>
            <w:pPr>
              <w:ind w:left="420" w:hanging="420" w:hangingChars="2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1.3打印方式 ：热敏和热转印</w:t>
            </w:r>
          </w:p>
          <w:p>
            <w:pPr>
              <w:ind w:left="420" w:hanging="420" w:hangingChars="2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1.4打印速度： ≥152mm/s</w:t>
            </w:r>
          </w:p>
          <w:p>
            <w:pPr>
              <w:ind w:left="420" w:hanging="420" w:hangingChars="20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1.5最大打印宽度 ：≥104mm</w:t>
            </w:r>
          </w:p>
          <w:p>
            <w:pPr>
              <w:ind w:left="420" w:hanging="420" w:hangingChars="200"/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1.6通信接口 ：USB 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1.7介质类型： 支持连续纸、标签纸、手腕带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          </w:t>
            </w: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台</w:t>
            </w:r>
          </w:p>
        </w:tc>
        <w:tc>
          <w:tcPr>
            <w:tcW w:w="13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00元/台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热敏打印机</w:t>
            </w:r>
          </w:p>
        </w:tc>
        <w:tc>
          <w:tcPr>
            <w:tcW w:w="4704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2.1打印方式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热敏</w:t>
            </w:r>
          </w:p>
          <w:p>
            <w:pPr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2.2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分辨率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203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dpi</w:t>
            </w:r>
          </w:p>
          <w:p>
            <w:pPr>
              <w:jc w:val="both"/>
              <w:rPr>
                <w:rFonts w:hint="eastAsia" w:ascii="宋体" w:hAnsi="宋体" w:cs="宋体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有效打印宽度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80mm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打印速度</w:t>
            </w:r>
            <w:bookmarkStart w:id="0" w:name="OLE_LINK2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≥</w:t>
            </w:r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300mm/s</w:t>
            </w:r>
          </w:p>
          <w:p>
            <w:pPr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 xml:space="preserve">通信接口：USB，纸张类型：连续纸，标记纸 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2.6带切刀</w:t>
            </w: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10台</w:t>
            </w:r>
          </w:p>
        </w:tc>
        <w:tc>
          <w:tcPr>
            <w:tcW w:w="13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00元/台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桌面型条码打印机</w:t>
            </w:r>
          </w:p>
        </w:tc>
        <w:tc>
          <w:tcPr>
            <w:tcW w:w="4704" w:type="dxa"/>
            <w:tcBorders>
              <w:bottom w:val="single" w:color="auto" w:sz="4" w:space="0"/>
            </w:tcBorders>
            <w:vAlign w:val="center"/>
          </w:tcPr>
          <w:p/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3.1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打印方式：热转印及热敏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3.2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打印头寿命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150km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分辨率203dpi</w:t>
            </w:r>
          </w:p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打印宽度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108mm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打印速度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150mm/s</w:t>
            </w:r>
          </w:p>
          <w:p>
            <w:pPr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3.6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标配:USB接口，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支持连续纸、条码纸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3.7带切刀组件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      </w:t>
            </w: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台</w:t>
            </w:r>
          </w:p>
        </w:tc>
        <w:tc>
          <w:tcPr>
            <w:tcW w:w="13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2700</w:t>
            </w:r>
            <w:r>
              <w:rPr>
                <w:rFonts w:hint="eastAsia"/>
              </w:rPr>
              <w:t>元/台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1.付款方式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1.1合同签订后，货到现场支付款项为合同款项的50%；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1.2安装调试培训完成后，提交安装调试报告，经相关科室确认，支付合同款项的40%；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1.3设备经运行3个月后，供应商提交验收申请，经相关科室验收合格后，支付合同剩余款项。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2.交货期限及地点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交货期限：合同签订生效后20日内。交货地点：成都市龙泉驿区妇幼保健院。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3.售后服务要求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3.1质保期限:不低于一年，质保期从验收合格之日起计算。保质期内免费维修，如需更换配件必须免费更换原厂产品，质保期外需提供维修服务或更换配件时费用不得高于市场最低价。  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3.2货物发生故障时，中标人接到通知后30分钟内提供电话等服务响应，48小时内到达现场维修。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3.3零配件供应：中标人应保证安装验收后备件供应不少于6年，备有所有必需的备件，保证需要时48小时内将配件送达采购人。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3.4投标产品制造厂家在国内应有24小时电话维修系统，在供货时须提供工程师名单、联系电话、通讯地址及备件的目录，保证8小时响应采购人的服务要求。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3.5中标人应就货物的安装、调试、操作、维修、保养等对采购人技术人员进行培训，培训人员须为货物制造厂家的专业售后人员。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6C17EA"/>
    <w:multiLevelType w:val="singleLevel"/>
    <w:tmpl w:val="C06C17E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74F51670"/>
    <w:rsid w:val="17F83E6F"/>
    <w:rsid w:val="74F5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813</Words>
  <Characters>946</Characters>
  <Lines>0</Lines>
  <Paragraphs>0</Paragraphs>
  <TotalTime>0</TotalTime>
  <ScaleCrop>false</ScaleCrop>
  <LinksUpToDate>false</LinksUpToDate>
  <CharactersWithSpaces>987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2024-07-22T07:48:00Z</dcterms:created>
  <dc:creator>邱玥</dc:creator>
  <cp:lastModifiedBy>邱玥</cp:lastModifiedBy>
  <dcterms:modified xsi:type="dcterms:W3CDTF">2024-07-22T07:55:47Z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865B91AEF8694EE69B3023EF8E621DFF_11</vt:lpwstr>
  </property>
</Properties>
</file>