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13D9D8A">
      <w:pPr>
        <w:pStyle w:val="2"/>
        <w:pageBreakBefore w:val="0"/>
        <w:kinsoku/>
        <w:wordWrap/>
        <w:overflowPunct/>
        <w:topLinePunct w:val="0"/>
        <w:autoSpaceDE/>
        <w:autoSpaceDN/>
        <w:bidi w:val="0"/>
        <w:spacing w:before="0" w:after="0" w:line="500" w:lineRule="exact"/>
        <w:jc w:val="left"/>
        <w:textAlignment w:val="auto"/>
        <w:rPr>
          <w:rFonts w:hint="eastAsia" w:ascii="华文中宋" w:hAnsi="华文中宋" w:eastAsia="华文中宋"/>
          <w:highlight w:val="none"/>
          <w:lang w:val="en-US" w:eastAsia="zh-CN"/>
        </w:rPr>
      </w:pPr>
      <w:bookmarkStart w:id="0" w:name="_Toc467940141"/>
      <w:bookmarkStart w:id="1" w:name="_Toc467940133"/>
      <w:r>
        <w:rPr>
          <w:rFonts w:hint="eastAsia" w:ascii="华文中宋" w:hAnsi="华文中宋" w:eastAsia="华文中宋"/>
          <w:highlight w:val="none"/>
          <w:lang w:val="en-US" w:eastAsia="zh-CN"/>
        </w:rPr>
        <w:t>附件三：</w:t>
      </w:r>
    </w:p>
    <w:p w14:paraId="18DCA822">
      <w:pPr>
        <w:pStyle w:val="2"/>
        <w:pageBreakBefore w:val="0"/>
        <w:kinsoku/>
        <w:overflowPunct/>
        <w:topLinePunct w:val="0"/>
        <w:bidi w:val="0"/>
        <w:spacing w:before="0" w:after="0" w:line="500" w:lineRule="exact"/>
        <w:jc w:val="center"/>
        <w:textAlignment w:val="auto"/>
        <w:rPr>
          <w:rFonts w:hint="eastAsia" w:ascii="华文中宋" w:hAnsi="华文中宋" w:eastAsia="华文中宋"/>
          <w:highlight w:val="none"/>
        </w:rPr>
      </w:pPr>
      <w:r>
        <w:rPr>
          <w:rFonts w:hint="eastAsia" w:ascii="华文中宋" w:hAnsi="华文中宋" w:eastAsia="华文中宋"/>
          <w:highlight w:val="none"/>
        </w:rPr>
        <w:t>第</w:t>
      </w:r>
      <w:r>
        <w:rPr>
          <w:rFonts w:hint="eastAsia" w:ascii="华文中宋" w:hAnsi="华文中宋" w:eastAsia="华文中宋"/>
          <w:highlight w:val="none"/>
          <w:lang w:val="en-US" w:eastAsia="zh-CN"/>
        </w:rPr>
        <w:t>三</w:t>
      </w:r>
      <w:r>
        <w:rPr>
          <w:rFonts w:hint="eastAsia" w:ascii="华文中宋" w:hAnsi="华文中宋" w:eastAsia="华文中宋"/>
          <w:highlight w:val="none"/>
        </w:rPr>
        <w:t>章 评分标准</w:t>
      </w:r>
      <w:bookmarkEnd w:id="0"/>
    </w:p>
    <w:p w14:paraId="5711EE15">
      <w:pPr>
        <w:pStyle w:val="2"/>
        <w:pageBreakBefore w:val="0"/>
        <w:kinsoku/>
        <w:wordWrap/>
        <w:overflowPunct/>
        <w:topLinePunct w:val="0"/>
        <w:autoSpaceDE/>
        <w:autoSpaceDN/>
        <w:bidi w:val="0"/>
        <w:spacing w:before="0" w:after="0" w:line="500" w:lineRule="exact"/>
        <w:textAlignment w:val="auto"/>
        <w:rPr>
          <w:rFonts w:hint="eastAsia" w:ascii="Times New Roman" w:hAnsi="Times New Roman" w:cs="Times New Roman"/>
          <w:highlight w:val="none"/>
          <w:lang w:val="en-US" w:eastAsia="zh-CN"/>
        </w:rPr>
      </w:pPr>
      <w:bookmarkStart w:id="2" w:name="_Toc467940142"/>
      <w:r>
        <w:rPr>
          <w:rFonts w:hint="eastAsia" w:ascii="Times New Roman" w:hAnsi="Times New Roman" w:cs="Times New Roman"/>
          <w:highlight w:val="none"/>
          <w:lang w:val="en-US" w:eastAsia="zh-CN"/>
        </w:rPr>
        <w:t>1.评分办法</w:t>
      </w:r>
      <w:bookmarkEnd w:id="2"/>
    </w:p>
    <w:p w14:paraId="3024AD45">
      <w:pPr>
        <w:keepNext w:val="0"/>
        <w:keepLines w:val="0"/>
        <w:pageBreakBefore w:val="0"/>
        <w:widowControl/>
        <w:kinsoku/>
        <w:wordWrap/>
        <w:overflowPunct/>
        <w:topLinePunct w:val="0"/>
        <w:autoSpaceDE/>
        <w:autoSpaceDN/>
        <w:bidi w:val="0"/>
        <w:adjustRightInd w:val="0"/>
        <w:snapToGrid w:val="0"/>
        <w:spacing w:line="500" w:lineRule="exact"/>
        <w:ind w:firstLine="560" w:firstLineChars="200"/>
        <w:jc w:val="left"/>
        <w:textAlignment w:val="auto"/>
        <w:rPr>
          <w:rFonts w:hint="default" w:ascii="Times New Roman" w:hAnsi="Times New Roman" w:eastAsia="仿宋_GB2312" w:cs="Times New Roman"/>
          <w:sz w:val="28"/>
          <w:szCs w:val="28"/>
          <w:highlight w:val="none"/>
        </w:rPr>
      </w:pPr>
      <w:r>
        <w:rPr>
          <w:rFonts w:hint="eastAsia" w:ascii="Times New Roman" w:hAnsi="Times New Roman" w:eastAsia="仿宋_GB2312" w:cs="Times New Roman"/>
          <w:sz w:val="28"/>
          <w:szCs w:val="28"/>
          <w:highlight w:val="none"/>
        </w:rPr>
        <w:t>本次比选采用综合评分法，由</w:t>
      </w:r>
      <w:r>
        <w:rPr>
          <w:rFonts w:hint="eastAsia" w:ascii="Times New Roman" w:hAnsi="Times New Roman" w:eastAsia="仿宋_GB2312" w:cs="Times New Roman"/>
          <w:sz w:val="28"/>
          <w:szCs w:val="28"/>
          <w:highlight w:val="none"/>
          <w:lang w:eastAsia="zh-CN"/>
        </w:rPr>
        <w:t>采购委员会</w:t>
      </w:r>
      <w:r>
        <w:rPr>
          <w:rFonts w:hint="eastAsia" w:ascii="Times New Roman" w:hAnsi="Times New Roman" w:eastAsia="仿宋_GB2312" w:cs="Times New Roman"/>
          <w:sz w:val="28"/>
          <w:szCs w:val="28"/>
          <w:highlight w:val="none"/>
        </w:rPr>
        <w:t>各成员独立对通过资格性审查的比选书进行评审和打分，各位评委得分的算术平均数为投标人的最终得分。</w:t>
      </w:r>
    </w:p>
    <w:p w14:paraId="32A1D1C6">
      <w:pPr>
        <w:keepNext w:val="0"/>
        <w:keepLines w:val="0"/>
        <w:pageBreakBefore w:val="0"/>
        <w:widowControl/>
        <w:kinsoku/>
        <w:wordWrap/>
        <w:overflowPunct/>
        <w:topLinePunct w:val="0"/>
        <w:autoSpaceDE/>
        <w:autoSpaceDN/>
        <w:bidi w:val="0"/>
        <w:adjustRightInd w:val="0"/>
        <w:snapToGrid w:val="0"/>
        <w:spacing w:line="500" w:lineRule="exact"/>
        <w:ind w:firstLine="560" w:firstLineChars="200"/>
        <w:jc w:val="left"/>
        <w:textAlignment w:val="auto"/>
        <w:rPr>
          <w:rFonts w:hint="default" w:ascii="Times New Roman" w:hAnsi="Times New Roman" w:eastAsia="仿宋_GB2312" w:cs="Times New Roman"/>
          <w:sz w:val="28"/>
          <w:szCs w:val="28"/>
          <w:highlight w:val="none"/>
        </w:rPr>
      </w:pPr>
      <w:r>
        <w:rPr>
          <w:rFonts w:hint="eastAsia" w:ascii="Times New Roman" w:hAnsi="Times New Roman" w:eastAsia="仿宋_GB2312" w:cs="Times New Roman"/>
          <w:sz w:val="28"/>
          <w:szCs w:val="28"/>
          <w:highlight w:val="none"/>
        </w:rPr>
        <w:t>评分的取值按四舍五入法，保留小数点后两位。</w:t>
      </w:r>
    </w:p>
    <w:p w14:paraId="4C27A9B6">
      <w:pPr>
        <w:keepNext w:val="0"/>
        <w:keepLines w:val="0"/>
        <w:pageBreakBefore w:val="0"/>
        <w:widowControl/>
        <w:kinsoku/>
        <w:wordWrap/>
        <w:overflowPunct/>
        <w:topLinePunct w:val="0"/>
        <w:autoSpaceDE/>
        <w:autoSpaceDN/>
        <w:bidi w:val="0"/>
        <w:adjustRightInd w:val="0"/>
        <w:snapToGrid w:val="0"/>
        <w:spacing w:line="500" w:lineRule="exact"/>
        <w:ind w:firstLine="560" w:firstLineChars="200"/>
        <w:jc w:val="left"/>
        <w:textAlignment w:val="auto"/>
        <w:rPr>
          <w:rFonts w:hint="default" w:ascii="Times New Roman" w:hAnsi="Times New Roman" w:eastAsia="仿宋_GB2312" w:cs="Times New Roman"/>
          <w:sz w:val="28"/>
          <w:szCs w:val="28"/>
          <w:highlight w:val="none"/>
        </w:rPr>
      </w:pPr>
      <w:r>
        <w:rPr>
          <w:rFonts w:hint="eastAsia" w:ascii="Times New Roman" w:hAnsi="Times New Roman" w:eastAsia="仿宋_GB2312" w:cs="Times New Roman"/>
          <w:sz w:val="28"/>
          <w:szCs w:val="28"/>
          <w:highlight w:val="none"/>
        </w:rPr>
        <w:t xml:space="preserve">评标得分＝（F1＋F2＋……＋Fn）/n </w:t>
      </w:r>
    </w:p>
    <w:p w14:paraId="4B1F27B9">
      <w:pPr>
        <w:keepNext w:val="0"/>
        <w:keepLines w:val="0"/>
        <w:pageBreakBefore w:val="0"/>
        <w:widowControl/>
        <w:kinsoku/>
        <w:wordWrap/>
        <w:overflowPunct/>
        <w:topLinePunct w:val="0"/>
        <w:autoSpaceDE/>
        <w:autoSpaceDN/>
        <w:bidi w:val="0"/>
        <w:adjustRightInd w:val="0"/>
        <w:snapToGrid w:val="0"/>
        <w:spacing w:line="500" w:lineRule="exact"/>
        <w:ind w:firstLine="560" w:firstLineChars="200"/>
        <w:jc w:val="left"/>
        <w:textAlignment w:val="auto"/>
        <w:rPr>
          <w:rFonts w:hint="eastAsia" w:ascii="Times New Roman" w:hAnsi="Times New Roman" w:eastAsia="仿宋_GB2312" w:cs="Times New Roman"/>
          <w:sz w:val="28"/>
          <w:szCs w:val="28"/>
          <w:highlight w:val="none"/>
        </w:rPr>
      </w:pPr>
      <w:r>
        <w:rPr>
          <w:rFonts w:hint="eastAsia" w:ascii="Times New Roman" w:hAnsi="Times New Roman" w:eastAsia="仿宋_GB2312" w:cs="Times New Roman"/>
          <w:sz w:val="28"/>
          <w:szCs w:val="28"/>
          <w:highlight w:val="none"/>
        </w:rPr>
        <w:t>F1、F2……Fn分别为每个评委的打分。</w:t>
      </w:r>
    </w:p>
    <w:p w14:paraId="7AB22B17">
      <w:pPr>
        <w:pStyle w:val="2"/>
        <w:pageBreakBefore w:val="0"/>
        <w:numPr>
          <w:ilvl w:val="0"/>
          <w:numId w:val="1"/>
        </w:numPr>
        <w:kinsoku/>
        <w:wordWrap/>
        <w:overflowPunct/>
        <w:topLinePunct w:val="0"/>
        <w:autoSpaceDE/>
        <w:autoSpaceDN/>
        <w:bidi w:val="0"/>
        <w:spacing w:before="0" w:after="0" w:line="500" w:lineRule="exact"/>
        <w:textAlignment w:val="auto"/>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评分标准</w:t>
      </w:r>
    </w:p>
    <w:tbl>
      <w:tblPr>
        <w:tblStyle w:val="11"/>
        <w:tblW w:w="5034" w:type="pct"/>
        <w:tblInd w:w="0" w:type="dxa"/>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autofit"/>
        <w:tblCellMar>
          <w:top w:w="0" w:type="dxa"/>
          <w:left w:w="0" w:type="dxa"/>
          <w:bottom w:w="0" w:type="dxa"/>
          <w:right w:w="0" w:type="dxa"/>
        </w:tblCellMar>
      </w:tblPr>
      <w:tblGrid>
        <w:gridCol w:w="859"/>
        <w:gridCol w:w="1473"/>
        <w:gridCol w:w="7964"/>
      </w:tblGrid>
      <w:tr w14:paraId="6CC364D1">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565" w:hRule="atLeast"/>
        </w:trPr>
        <w:tc>
          <w:tcPr>
            <w:tcW w:w="417" w:type="pct"/>
            <w:tcBorders>
              <w:top w:val="single" w:color="auto" w:sz="8" w:space="0"/>
              <w:left w:val="single" w:color="auto" w:sz="8" w:space="0"/>
              <w:bottom w:val="single" w:color="auto" w:sz="8" w:space="0"/>
              <w:right w:val="single" w:color="auto" w:sz="8" w:space="0"/>
            </w:tcBorders>
          </w:tcPr>
          <w:p w14:paraId="7F17053B">
            <w:pPr>
              <w:pageBreakBefore w:val="0"/>
              <w:kinsoku/>
              <w:overflowPunct/>
              <w:topLinePunct w:val="0"/>
              <w:bidi w:val="0"/>
              <w:spacing w:line="500" w:lineRule="exact"/>
              <w:jc w:val="center"/>
              <w:textAlignment w:val="auto"/>
              <w:rPr>
                <w:rFonts w:ascii="仿宋" w:hAnsi="仿宋" w:eastAsia="仿宋" w:cs="仿宋"/>
                <w:bCs/>
                <w:sz w:val="24"/>
                <w:szCs w:val="18"/>
                <w:highlight w:val="none"/>
              </w:rPr>
            </w:pPr>
            <w:r>
              <w:rPr>
                <w:rFonts w:hint="eastAsia" w:ascii="仿宋" w:hAnsi="仿宋" w:eastAsia="仿宋" w:cs="仿宋"/>
                <w:bCs/>
                <w:sz w:val="24"/>
                <w:szCs w:val="18"/>
                <w:highlight w:val="none"/>
              </w:rPr>
              <w:t>序号</w:t>
            </w:r>
          </w:p>
        </w:tc>
        <w:tc>
          <w:tcPr>
            <w:tcW w:w="4582" w:type="pct"/>
            <w:gridSpan w:val="2"/>
            <w:tcBorders>
              <w:top w:val="single" w:color="auto" w:sz="8" w:space="0"/>
              <w:left w:val="single" w:color="auto" w:sz="8" w:space="0"/>
              <w:bottom w:val="single" w:color="auto" w:sz="8" w:space="0"/>
              <w:right w:val="single" w:color="auto" w:sz="8" w:space="0"/>
            </w:tcBorders>
            <w:vAlign w:val="center"/>
          </w:tcPr>
          <w:p w14:paraId="077DF5BB">
            <w:pPr>
              <w:pageBreakBefore w:val="0"/>
              <w:kinsoku/>
              <w:overflowPunct/>
              <w:topLinePunct w:val="0"/>
              <w:bidi w:val="0"/>
              <w:spacing w:line="500" w:lineRule="exact"/>
              <w:jc w:val="center"/>
              <w:textAlignment w:val="auto"/>
              <w:rPr>
                <w:rFonts w:ascii="仿宋" w:hAnsi="仿宋" w:eastAsia="仿宋" w:cs="仿宋"/>
                <w:bCs/>
                <w:sz w:val="24"/>
                <w:szCs w:val="18"/>
                <w:highlight w:val="none"/>
              </w:rPr>
            </w:pPr>
            <w:r>
              <w:rPr>
                <w:rFonts w:hint="eastAsia" w:ascii="仿宋" w:hAnsi="仿宋" w:eastAsia="仿宋" w:cs="仿宋"/>
                <w:bCs/>
                <w:sz w:val="24"/>
                <w:szCs w:val="18"/>
                <w:highlight w:val="none"/>
              </w:rPr>
              <w:t>评分标准</w:t>
            </w:r>
          </w:p>
        </w:tc>
      </w:tr>
      <w:tr w14:paraId="6A26CE3F">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1970" w:hRule="atLeast"/>
        </w:trPr>
        <w:tc>
          <w:tcPr>
            <w:tcW w:w="417" w:type="pct"/>
            <w:tcBorders>
              <w:top w:val="single" w:color="auto" w:sz="8" w:space="0"/>
              <w:left w:val="single" w:color="auto" w:sz="8" w:space="0"/>
              <w:bottom w:val="single" w:color="auto" w:sz="4" w:space="0"/>
              <w:right w:val="single" w:color="auto" w:sz="8" w:space="0"/>
            </w:tcBorders>
            <w:vAlign w:val="center"/>
          </w:tcPr>
          <w:p w14:paraId="2E3F555E">
            <w:pPr>
              <w:keepNext w:val="0"/>
              <w:keepLines w:val="0"/>
              <w:pageBreakBefore w:val="0"/>
              <w:widowControl w:val="0"/>
              <w:kinsoku/>
              <w:wordWrap/>
              <w:overflowPunct/>
              <w:topLinePunct w:val="0"/>
              <w:autoSpaceDE/>
              <w:autoSpaceDN/>
              <w:bidi w:val="0"/>
              <w:adjustRightInd/>
              <w:snapToGrid/>
              <w:spacing w:line="440" w:lineRule="exact"/>
              <w:jc w:val="left"/>
              <w:textAlignment w:val="auto"/>
              <w:rPr>
                <w:rFonts w:ascii="仿宋" w:hAnsi="仿宋" w:eastAsia="仿宋" w:cs="仿宋"/>
                <w:bCs/>
                <w:sz w:val="24"/>
                <w:szCs w:val="18"/>
                <w:highlight w:val="none"/>
              </w:rPr>
            </w:pPr>
            <w:r>
              <w:rPr>
                <w:rFonts w:hint="eastAsia" w:ascii="仿宋" w:hAnsi="仿宋" w:eastAsia="仿宋" w:cs="仿宋"/>
                <w:bCs/>
                <w:sz w:val="24"/>
                <w:szCs w:val="18"/>
                <w:highlight w:val="none"/>
              </w:rPr>
              <w:t>一</w:t>
            </w:r>
          </w:p>
        </w:tc>
        <w:tc>
          <w:tcPr>
            <w:tcW w:w="715" w:type="pct"/>
            <w:tcBorders>
              <w:top w:val="single" w:color="auto" w:sz="8" w:space="0"/>
              <w:left w:val="single" w:color="auto" w:sz="4" w:space="0"/>
              <w:bottom w:val="single" w:color="auto" w:sz="8" w:space="0"/>
              <w:right w:val="single" w:color="auto" w:sz="8" w:space="0"/>
            </w:tcBorders>
            <w:vAlign w:val="center"/>
          </w:tcPr>
          <w:p w14:paraId="3FF2F51C">
            <w:pPr>
              <w:keepNext w:val="0"/>
              <w:keepLines w:val="0"/>
              <w:pageBreakBefore w:val="0"/>
              <w:widowControl w:val="0"/>
              <w:kinsoku/>
              <w:wordWrap/>
              <w:overflowPunct/>
              <w:topLinePunct w:val="0"/>
              <w:autoSpaceDE/>
              <w:autoSpaceDN/>
              <w:bidi w:val="0"/>
              <w:adjustRightInd/>
              <w:snapToGrid/>
              <w:spacing w:line="440" w:lineRule="exact"/>
              <w:jc w:val="left"/>
              <w:textAlignment w:val="auto"/>
              <w:rPr>
                <w:rFonts w:ascii="仿宋" w:hAnsi="仿宋" w:eastAsia="仿宋" w:cs="仿宋"/>
                <w:bCs/>
                <w:sz w:val="24"/>
                <w:szCs w:val="18"/>
                <w:highlight w:val="none"/>
              </w:rPr>
            </w:pPr>
            <w:r>
              <w:rPr>
                <w:rFonts w:hint="eastAsia" w:ascii="仿宋" w:hAnsi="仿宋" w:eastAsia="仿宋" w:cs="仿宋"/>
                <w:bCs/>
                <w:sz w:val="24"/>
                <w:szCs w:val="18"/>
                <w:highlight w:val="none"/>
              </w:rPr>
              <w:t>硬件设施</w:t>
            </w:r>
            <w:r>
              <w:rPr>
                <w:rFonts w:hint="eastAsia" w:ascii="仿宋" w:hAnsi="仿宋" w:eastAsia="仿宋" w:cs="仿宋"/>
                <w:bCs/>
                <w:sz w:val="24"/>
                <w:szCs w:val="18"/>
                <w:highlight w:val="none"/>
                <w:lang w:val="en-US" w:eastAsia="zh-CN"/>
              </w:rPr>
              <w:t xml:space="preserve">  </w:t>
            </w:r>
            <w:r>
              <w:rPr>
                <w:rFonts w:hint="eastAsia" w:ascii="仿宋" w:hAnsi="仿宋" w:eastAsia="仿宋" w:cs="仿宋"/>
                <w:bCs/>
                <w:sz w:val="24"/>
                <w:szCs w:val="18"/>
                <w:highlight w:val="none"/>
              </w:rPr>
              <w:t>（</w:t>
            </w:r>
            <w:r>
              <w:rPr>
                <w:rFonts w:ascii="仿宋" w:hAnsi="仿宋" w:eastAsia="仿宋" w:cs="仿宋"/>
                <w:bCs/>
                <w:sz w:val="24"/>
                <w:szCs w:val="18"/>
                <w:highlight w:val="none"/>
              </w:rPr>
              <w:t>1</w:t>
            </w:r>
            <w:r>
              <w:rPr>
                <w:rFonts w:hint="eastAsia" w:ascii="仿宋" w:hAnsi="仿宋" w:eastAsia="仿宋" w:cs="仿宋"/>
                <w:bCs/>
                <w:sz w:val="24"/>
                <w:szCs w:val="18"/>
                <w:highlight w:val="none"/>
                <w:lang w:val="en-US" w:eastAsia="zh-CN"/>
              </w:rPr>
              <w:t>6</w:t>
            </w:r>
            <w:r>
              <w:rPr>
                <w:rFonts w:hint="eastAsia" w:ascii="仿宋" w:hAnsi="仿宋" w:eastAsia="仿宋" w:cs="仿宋"/>
                <w:bCs/>
                <w:sz w:val="24"/>
                <w:szCs w:val="18"/>
                <w:highlight w:val="none"/>
              </w:rPr>
              <w:t>分）</w:t>
            </w:r>
          </w:p>
        </w:tc>
        <w:tc>
          <w:tcPr>
            <w:tcW w:w="3867" w:type="pct"/>
            <w:tcBorders>
              <w:top w:val="single" w:color="auto" w:sz="8" w:space="0"/>
              <w:left w:val="single" w:color="auto" w:sz="8" w:space="0"/>
              <w:bottom w:val="single" w:color="auto" w:sz="8" w:space="0"/>
              <w:right w:val="single" w:color="auto" w:sz="8" w:space="0"/>
            </w:tcBorders>
            <w:vAlign w:val="center"/>
          </w:tcPr>
          <w:p w14:paraId="0FE7060C">
            <w:pPr>
              <w:keepNext w:val="0"/>
              <w:keepLines w:val="0"/>
              <w:pageBreakBefore w:val="0"/>
              <w:widowControl w:val="0"/>
              <w:kinsoku/>
              <w:wordWrap/>
              <w:overflowPunct/>
              <w:topLinePunct w:val="0"/>
              <w:autoSpaceDE/>
              <w:autoSpaceDN/>
              <w:bidi w:val="0"/>
              <w:adjustRightInd/>
              <w:snapToGrid/>
              <w:spacing w:line="440" w:lineRule="exact"/>
              <w:jc w:val="left"/>
              <w:textAlignment w:val="auto"/>
              <w:rPr>
                <w:rFonts w:hint="eastAsia" w:ascii="仿宋" w:hAnsi="仿宋" w:eastAsia="仿宋" w:cs="仿宋"/>
                <w:bCs/>
                <w:sz w:val="24"/>
                <w:szCs w:val="18"/>
                <w:highlight w:val="none"/>
              </w:rPr>
            </w:pPr>
            <w:r>
              <w:rPr>
                <w:rFonts w:hint="eastAsia" w:ascii="仿宋" w:hAnsi="仿宋" w:eastAsia="仿宋" w:cs="仿宋"/>
                <w:bCs/>
                <w:sz w:val="24"/>
                <w:szCs w:val="18"/>
                <w:highlight w:val="none"/>
              </w:rPr>
              <w:t>1、</w:t>
            </w:r>
            <w:r>
              <w:rPr>
                <w:rFonts w:hint="eastAsia" w:ascii="仿宋" w:hAnsi="仿宋" w:eastAsia="仿宋" w:cs="仿宋"/>
                <w:bCs/>
                <w:sz w:val="24"/>
                <w:szCs w:val="18"/>
                <w:highlight w:val="none"/>
                <w:lang w:val="en-US" w:eastAsia="zh-CN"/>
              </w:rPr>
              <w:t>投标人</w:t>
            </w:r>
            <w:r>
              <w:rPr>
                <w:rFonts w:hint="eastAsia" w:ascii="仿宋" w:hAnsi="仿宋" w:eastAsia="仿宋" w:cs="仿宋"/>
                <w:bCs/>
                <w:sz w:val="24"/>
                <w:szCs w:val="18"/>
                <w:highlight w:val="none"/>
              </w:rPr>
              <w:t>具有符合政府采购要求的独立开评标室（含电子评标室且具备远程设备要求）</w:t>
            </w:r>
            <w:r>
              <w:rPr>
                <w:rFonts w:hint="eastAsia" w:ascii="仿宋" w:hAnsi="仿宋" w:eastAsia="仿宋" w:cs="仿宋"/>
                <w:bCs/>
                <w:sz w:val="24"/>
                <w:szCs w:val="18"/>
                <w:highlight w:val="none"/>
                <w:lang w:val="en-US" w:eastAsia="zh-CN"/>
              </w:rPr>
              <w:t>3</w:t>
            </w:r>
            <w:r>
              <w:rPr>
                <w:rFonts w:hint="eastAsia" w:ascii="仿宋" w:hAnsi="仿宋" w:eastAsia="仿宋" w:cs="仿宋"/>
                <w:bCs/>
                <w:sz w:val="24"/>
                <w:szCs w:val="18"/>
                <w:highlight w:val="none"/>
              </w:rPr>
              <w:t>间的得1分，每增加1家得1分，此项最高得</w:t>
            </w:r>
            <w:r>
              <w:rPr>
                <w:rFonts w:hint="eastAsia" w:ascii="仿宋" w:hAnsi="仿宋" w:eastAsia="仿宋" w:cs="仿宋"/>
                <w:bCs/>
                <w:sz w:val="24"/>
                <w:szCs w:val="18"/>
                <w:highlight w:val="none"/>
                <w:lang w:val="en-US" w:eastAsia="zh-CN"/>
              </w:rPr>
              <w:t>6</w:t>
            </w:r>
            <w:r>
              <w:rPr>
                <w:rFonts w:hint="eastAsia" w:ascii="仿宋" w:hAnsi="仿宋" w:eastAsia="仿宋" w:cs="仿宋"/>
                <w:bCs/>
                <w:sz w:val="24"/>
                <w:szCs w:val="18"/>
                <w:highlight w:val="none"/>
              </w:rPr>
              <w:t>分；</w:t>
            </w:r>
          </w:p>
          <w:p w14:paraId="4692EA68">
            <w:pPr>
              <w:keepNext w:val="0"/>
              <w:keepLines w:val="0"/>
              <w:pageBreakBefore w:val="0"/>
              <w:widowControl w:val="0"/>
              <w:kinsoku/>
              <w:wordWrap/>
              <w:overflowPunct/>
              <w:topLinePunct w:val="0"/>
              <w:autoSpaceDE/>
              <w:autoSpaceDN/>
              <w:bidi w:val="0"/>
              <w:adjustRightInd/>
              <w:snapToGrid/>
              <w:spacing w:line="440" w:lineRule="exact"/>
              <w:jc w:val="left"/>
              <w:textAlignment w:val="auto"/>
              <w:rPr>
                <w:rFonts w:hint="eastAsia" w:ascii="仿宋" w:hAnsi="仿宋" w:eastAsia="仿宋" w:cs="仿宋"/>
                <w:bCs/>
                <w:sz w:val="24"/>
                <w:szCs w:val="18"/>
                <w:highlight w:val="none"/>
              </w:rPr>
            </w:pPr>
            <w:r>
              <w:rPr>
                <w:rFonts w:hint="eastAsia" w:ascii="仿宋" w:hAnsi="仿宋" w:eastAsia="仿宋" w:cs="仿宋"/>
                <w:bCs/>
                <w:sz w:val="24"/>
                <w:szCs w:val="18"/>
                <w:highlight w:val="none"/>
              </w:rPr>
              <w:t>有独立档案室得1分，有独立监控室得1分，此项最高得2分；</w:t>
            </w:r>
          </w:p>
          <w:p w14:paraId="413E6418">
            <w:pPr>
              <w:keepNext w:val="0"/>
              <w:keepLines w:val="0"/>
              <w:pageBreakBefore w:val="0"/>
              <w:widowControl w:val="0"/>
              <w:kinsoku/>
              <w:wordWrap/>
              <w:overflowPunct/>
              <w:topLinePunct w:val="0"/>
              <w:autoSpaceDE/>
              <w:autoSpaceDN/>
              <w:bidi w:val="0"/>
              <w:adjustRightInd/>
              <w:snapToGrid/>
              <w:spacing w:line="440" w:lineRule="exact"/>
              <w:jc w:val="left"/>
              <w:textAlignment w:val="auto"/>
              <w:rPr>
                <w:rFonts w:hint="eastAsia" w:ascii="仿宋" w:hAnsi="仿宋" w:eastAsia="仿宋" w:cs="仿宋"/>
                <w:bCs/>
                <w:sz w:val="24"/>
                <w:szCs w:val="18"/>
                <w:highlight w:val="none"/>
              </w:rPr>
            </w:pPr>
            <w:r>
              <w:rPr>
                <w:rFonts w:hint="eastAsia" w:ascii="仿宋" w:hAnsi="仿宋" w:eastAsia="仿宋" w:cs="仿宋"/>
                <w:bCs/>
                <w:sz w:val="24"/>
                <w:szCs w:val="18"/>
                <w:highlight w:val="none"/>
                <w:lang w:val="en-US" w:eastAsia="zh-CN"/>
              </w:rPr>
              <w:t>投标人</w:t>
            </w:r>
            <w:r>
              <w:rPr>
                <w:rFonts w:hint="eastAsia" w:ascii="仿宋" w:hAnsi="仿宋" w:eastAsia="仿宋" w:cs="仿宋"/>
                <w:bCs/>
                <w:sz w:val="24"/>
                <w:szCs w:val="18"/>
                <w:highlight w:val="none"/>
              </w:rPr>
              <w:t>具有满足要求的有音视频录制监控系统、门禁系统，可有效隔离评审区域的得2分；（提供</w:t>
            </w:r>
            <w:r>
              <w:rPr>
                <w:rFonts w:hint="eastAsia" w:ascii="仿宋" w:hAnsi="仿宋" w:eastAsia="仿宋" w:cs="仿宋"/>
                <w:bCs/>
                <w:sz w:val="24"/>
                <w:szCs w:val="18"/>
                <w:highlight w:val="none"/>
                <w:lang w:val="en-US" w:eastAsia="zh-CN"/>
              </w:rPr>
              <w:t>投标人</w:t>
            </w:r>
            <w:r>
              <w:rPr>
                <w:rFonts w:hint="eastAsia" w:ascii="仿宋" w:hAnsi="仿宋" w:eastAsia="仿宋" w:cs="仿宋"/>
                <w:bCs/>
                <w:sz w:val="24"/>
                <w:szCs w:val="18"/>
                <w:highlight w:val="none"/>
              </w:rPr>
              <w:t>开、评标室房间及门禁系统图片，并加盖投标单位公章）</w:t>
            </w:r>
          </w:p>
          <w:p w14:paraId="5B1E07C4">
            <w:pPr>
              <w:keepNext w:val="0"/>
              <w:keepLines w:val="0"/>
              <w:pageBreakBefore w:val="0"/>
              <w:widowControl w:val="0"/>
              <w:kinsoku/>
              <w:wordWrap/>
              <w:overflowPunct/>
              <w:topLinePunct w:val="0"/>
              <w:autoSpaceDE/>
              <w:autoSpaceDN/>
              <w:bidi w:val="0"/>
              <w:adjustRightInd/>
              <w:snapToGrid/>
              <w:spacing w:line="440" w:lineRule="exact"/>
              <w:jc w:val="left"/>
              <w:textAlignment w:val="auto"/>
              <w:rPr>
                <w:rFonts w:hint="eastAsia" w:ascii="仿宋" w:hAnsi="仿宋" w:eastAsia="仿宋" w:cs="仿宋"/>
                <w:bCs/>
                <w:sz w:val="24"/>
                <w:szCs w:val="18"/>
                <w:highlight w:val="none"/>
              </w:rPr>
            </w:pPr>
            <w:r>
              <w:rPr>
                <w:rFonts w:hint="eastAsia" w:ascii="仿宋" w:hAnsi="仿宋" w:eastAsia="仿宋" w:cs="仿宋"/>
                <w:bCs/>
                <w:sz w:val="24"/>
                <w:szCs w:val="18"/>
                <w:highlight w:val="none"/>
              </w:rPr>
              <w:t>具有良好的本地化服务能力，在成都市设立的办公面积达到500-800㎡（不含）得1分，800-1000㎡（不含）得2分，1000㎡及以上得4分；</w:t>
            </w:r>
          </w:p>
          <w:p w14:paraId="24AC14E6">
            <w:pPr>
              <w:keepNext w:val="0"/>
              <w:keepLines w:val="0"/>
              <w:pageBreakBefore w:val="0"/>
              <w:widowControl w:val="0"/>
              <w:kinsoku/>
              <w:wordWrap/>
              <w:overflowPunct/>
              <w:topLinePunct w:val="0"/>
              <w:autoSpaceDE/>
              <w:autoSpaceDN/>
              <w:bidi w:val="0"/>
              <w:adjustRightInd/>
              <w:snapToGrid/>
              <w:spacing w:line="440" w:lineRule="exact"/>
              <w:jc w:val="left"/>
              <w:textAlignment w:val="auto"/>
              <w:rPr>
                <w:rFonts w:hint="eastAsia" w:ascii="仿宋" w:hAnsi="仿宋" w:eastAsia="仿宋" w:cs="仿宋"/>
                <w:bCs/>
                <w:sz w:val="24"/>
                <w:szCs w:val="18"/>
                <w:highlight w:val="none"/>
              </w:rPr>
            </w:pPr>
            <w:r>
              <w:rPr>
                <w:rFonts w:hint="eastAsia" w:ascii="仿宋" w:hAnsi="仿宋" w:eastAsia="仿宋" w:cs="仿宋"/>
                <w:bCs/>
                <w:sz w:val="24"/>
                <w:szCs w:val="18"/>
                <w:highlight w:val="none"/>
              </w:rPr>
              <w:t>注：500㎡（含）以下不得分。（固定经营场所为自有产权提供产权证明和办公场地（包含监控室、休息室、开标室、评审室）彩色照片等证明材料盖单位鲜章；租用提供租房合同和产权证明复印件、办公场地彩色照片等证明材料盖单位鲜章。</w:t>
            </w:r>
          </w:p>
          <w:p w14:paraId="22071427">
            <w:pPr>
              <w:keepNext w:val="0"/>
              <w:keepLines w:val="0"/>
              <w:pageBreakBefore w:val="0"/>
              <w:widowControl w:val="0"/>
              <w:kinsoku/>
              <w:wordWrap/>
              <w:overflowPunct/>
              <w:topLinePunct w:val="0"/>
              <w:autoSpaceDE/>
              <w:autoSpaceDN/>
              <w:bidi w:val="0"/>
              <w:adjustRightInd/>
              <w:snapToGrid/>
              <w:spacing w:line="440" w:lineRule="exact"/>
              <w:jc w:val="left"/>
              <w:textAlignment w:val="auto"/>
              <w:rPr>
                <w:rFonts w:ascii="仿宋" w:hAnsi="仿宋" w:eastAsia="仿宋" w:cs="仿宋"/>
                <w:bCs/>
                <w:sz w:val="24"/>
                <w:szCs w:val="18"/>
                <w:highlight w:val="none"/>
              </w:rPr>
            </w:pPr>
            <w:r>
              <w:rPr>
                <w:rFonts w:hint="eastAsia" w:ascii="仿宋" w:hAnsi="仿宋" w:eastAsia="仿宋" w:cs="仿宋"/>
                <w:bCs/>
                <w:sz w:val="24"/>
                <w:szCs w:val="18"/>
                <w:highlight w:val="none"/>
              </w:rPr>
              <w:t>2、针对非政府采购项目，</w:t>
            </w:r>
            <w:r>
              <w:rPr>
                <w:rFonts w:hint="eastAsia" w:ascii="仿宋" w:hAnsi="仿宋" w:eastAsia="仿宋" w:cs="仿宋"/>
                <w:bCs/>
                <w:sz w:val="24"/>
                <w:szCs w:val="18"/>
                <w:highlight w:val="none"/>
                <w:lang w:eastAsia="zh-CN"/>
              </w:rPr>
              <w:t>投标人</w:t>
            </w:r>
            <w:r>
              <w:rPr>
                <w:rFonts w:hint="eastAsia" w:ascii="仿宋" w:hAnsi="仿宋" w:eastAsia="仿宋" w:cs="仿宋"/>
                <w:bCs/>
                <w:sz w:val="24"/>
                <w:szCs w:val="18"/>
                <w:highlight w:val="none"/>
              </w:rPr>
              <w:t>具有可运行的自有电子化招采业务平台且该平台系统可实现网上报名、招标文件下载、线上开评标、线上中标通知书发放、电子化档案归档及数据收集等功能，全部满足的得</w:t>
            </w:r>
            <w:r>
              <w:rPr>
                <w:rFonts w:hint="eastAsia" w:ascii="仿宋" w:hAnsi="仿宋" w:eastAsia="仿宋" w:cs="仿宋"/>
                <w:bCs/>
                <w:sz w:val="24"/>
                <w:szCs w:val="18"/>
                <w:highlight w:val="none"/>
                <w:lang w:val="en-US" w:eastAsia="zh-CN"/>
              </w:rPr>
              <w:t>2</w:t>
            </w:r>
            <w:r>
              <w:rPr>
                <w:rFonts w:hint="eastAsia" w:ascii="仿宋" w:hAnsi="仿宋" w:eastAsia="仿宋" w:cs="仿宋"/>
                <w:bCs/>
                <w:sz w:val="24"/>
                <w:szCs w:val="18"/>
                <w:highlight w:val="none"/>
              </w:rPr>
              <w:t>分，每少一项扣</w:t>
            </w:r>
            <w:r>
              <w:rPr>
                <w:rFonts w:hint="eastAsia" w:ascii="仿宋" w:hAnsi="仿宋" w:eastAsia="仿宋" w:cs="仿宋"/>
                <w:bCs/>
                <w:sz w:val="24"/>
                <w:szCs w:val="18"/>
                <w:highlight w:val="none"/>
                <w:lang w:val="en-US" w:eastAsia="zh-CN"/>
              </w:rPr>
              <w:t>0.5</w:t>
            </w:r>
            <w:r>
              <w:rPr>
                <w:rFonts w:hint="eastAsia" w:ascii="仿宋" w:hAnsi="仿宋" w:eastAsia="仿宋" w:cs="仿宋"/>
                <w:bCs/>
                <w:sz w:val="24"/>
                <w:szCs w:val="18"/>
                <w:highlight w:val="none"/>
              </w:rPr>
              <w:t>分，扣完为止，没有电子化招采系统的不得分。（提供客观证明材料，如功能截图等）</w:t>
            </w:r>
          </w:p>
        </w:tc>
      </w:tr>
      <w:tr w14:paraId="29DFA698">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998" w:hRule="atLeast"/>
        </w:trPr>
        <w:tc>
          <w:tcPr>
            <w:tcW w:w="417" w:type="pct"/>
            <w:tcBorders>
              <w:top w:val="single" w:color="auto" w:sz="8" w:space="0"/>
              <w:left w:val="single" w:color="auto" w:sz="8" w:space="0"/>
              <w:bottom w:val="single" w:color="auto" w:sz="4" w:space="0"/>
              <w:right w:val="single" w:color="auto" w:sz="8" w:space="0"/>
            </w:tcBorders>
            <w:vAlign w:val="center"/>
          </w:tcPr>
          <w:p w14:paraId="4BC04160">
            <w:pPr>
              <w:keepNext w:val="0"/>
              <w:keepLines w:val="0"/>
              <w:pageBreakBefore w:val="0"/>
              <w:kinsoku/>
              <w:wordWrap/>
              <w:overflowPunct/>
              <w:topLinePunct w:val="0"/>
              <w:autoSpaceDE/>
              <w:autoSpaceDN/>
              <w:bidi w:val="0"/>
              <w:adjustRightInd/>
              <w:snapToGrid/>
              <w:spacing w:line="440" w:lineRule="exact"/>
              <w:jc w:val="left"/>
              <w:textAlignment w:val="auto"/>
              <w:rPr>
                <w:rFonts w:ascii="仿宋" w:hAnsi="仿宋" w:eastAsia="仿宋" w:cs="仿宋"/>
                <w:bCs/>
                <w:sz w:val="24"/>
                <w:szCs w:val="18"/>
                <w:highlight w:val="none"/>
              </w:rPr>
            </w:pPr>
            <w:r>
              <w:rPr>
                <w:rFonts w:hint="eastAsia" w:ascii="仿宋" w:hAnsi="仿宋" w:eastAsia="仿宋" w:cs="仿宋"/>
                <w:bCs/>
                <w:sz w:val="24"/>
                <w:szCs w:val="18"/>
                <w:highlight w:val="none"/>
              </w:rPr>
              <w:t>二</w:t>
            </w:r>
          </w:p>
        </w:tc>
        <w:tc>
          <w:tcPr>
            <w:tcW w:w="715" w:type="pct"/>
            <w:tcBorders>
              <w:top w:val="single" w:color="auto" w:sz="8" w:space="0"/>
              <w:left w:val="single" w:color="auto" w:sz="4" w:space="0"/>
              <w:bottom w:val="single" w:color="auto" w:sz="8" w:space="0"/>
              <w:right w:val="single" w:color="auto" w:sz="8" w:space="0"/>
            </w:tcBorders>
            <w:vAlign w:val="center"/>
          </w:tcPr>
          <w:p w14:paraId="306CF2C1">
            <w:pPr>
              <w:keepNext w:val="0"/>
              <w:keepLines w:val="0"/>
              <w:pageBreakBefore w:val="0"/>
              <w:kinsoku/>
              <w:wordWrap/>
              <w:overflowPunct/>
              <w:topLinePunct w:val="0"/>
              <w:autoSpaceDE/>
              <w:autoSpaceDN/>
              <w:bidi w:val="0"/>
              <w:adjustRightInd/>
              <w:snapToGrid/>
              <w:spacing w:line="440" w:lineRule="exact"/>
              <w:jc w:val="left"/>
              <w:textAlignment w:val="auto"/>
              <w:rPr>
                <w:rFonts w:hint="eastAsia" w:ascii="仿宋" w:hAnsi="仿宋" w:eastAsia="仿宋" w:cs="仿宋"/>
                <w:bCs/>
                <w:sz w:val="24"/>
                <w:szCs w:val="18"/>
                <w:highlight w:val="none"/>
                <w:lang w:val="en-US" w:eastAsia="zh-CN"/>
              </w:rPr>
            </w:pPr>
            <w:r>
              <w:rPr>
                <w:rFonts w:hint="eastAsia" w:ascii="仿宋" w:hAnsi="仿宋" w:eastAsia="仿宋" w:cs="仿宋"/>
                <w:bCs/>
                <w:sz w:val="24"/>
                <w:szCs w:val="18"/>
                <w:highlight w:val="none"/>
              </w:rPr>
              <w:t>机构信誉</w:t>
            </w:r>
            <w:r>
              <w:rPr>
                <w:rFonts w:hint="eastAsia" w:ascii="仿宋" w:hAnsi="仿宋" w:eastAsia="仿宋" w:cs="仿宋"/>
                <w:bCs/>
                <w:sz w:val="24"/>
                <w:szCs w:val="18"/>
                <w:highlight w:val="none"/>
                <w:lang w:val="en-US" w:eastAsia="zh-CN"/>
              </w:rPr>
              <w:t xml:space="preserve">  </w:t>
            </w:r>
          </w:p>
          <w:p w14:paraId="7240320F">
            <w:pPr>
              <w:keepNext w:val="0"/>
              <w:keepLines w:val="0"/>
              <w:pageBreakBefore w:val="0"/>
              <w:kinsoku/>
              <w:wordWrap/>
              <w:overflowPunct/>
              <w:topLinePunct w:val="0"/>
              <w:autoSpaceDE/>
              <w:autoSpaceDN/>
              <w:bidi w:val="0"/>
              <w:adjustRightInd/>
              <w:snapToGrid/>
              <w:spacing w:line="440" w:lineRule="exact"/>
              <w:jc w:val="left"/>
              <w:textAlignment w:val="auto"/>
              <w:rPr>
                <w:rFonts w:ascii="仿宋" w:hAnsi="仿宋" w:eastAsia="仿宋" w:cs="仿宋"/>
                <w:bCs/>
                <w:sz w:val="24"/>
                <w:szCs w:val="18"/>
                <w:highlight w:val="none"/>
              </w:rPr>
            </w:pPr>
            <w:r>
              <w:rPr>
                <w:rFonts w:hint="eastAsia" w:ascii="仿宋" w:hAnsi="仿宋" w:eastAsia="仿宋" w:cs="仿宋"/>
                <w:bCs/>
                <w:sz w:val="24"/>
                <w:szCs w:val="18"/>
                <w:highlight w:val="none"/>
              </w:rPr>
              <w:t>（</w:t>
            </w:r>
            <w:r>
              <w:rPr>
                <w:rFonts w:hint="eastAsia" w:ascii="仿宋" w:hAnsi="仿宋" w:eastAsia="仿宋" w:cs="仿宋"/>
                <w:bCs/>
                <w:sz w:val="24"/>
                <w:szCs w:val="18"/>
                <w:highlight w:val="none"/>
                <w:lang w:val="en-US" w:eastAsia="zh-CN"/>
              </w:rPr>
              <w:t>5</w:t>
            </w:r>
            <w:r>
              <w:rPr>
                <w:rFonts w:hint="eastAsia" w:ascii="仿宋" w:hAnsi="仿宋" w:eastAsia="仿宋" w:cs="仿宋"/>
                <w:bCs/>
                <w:sz w:val="24"/>
                <w:szCs w:val="18"/>
                <w:highlight w:val="none"/>
              </w:rPr>
              <w:t>分）</w:t>
            </w:r>
          </w:p>
        </w:tc>
        <w:tc>
          <w:tcPr>
            <w:tcW w:w="3867" w:type="pct"/>
            <w:tcBorders>
              <w:top w:val="single" w:color="auto" w:sz="8" w:space="0"/>
              <w:left w:val="single" w:color="auto" w:sz="8" w:space="0"/>
              <w:bottom w:val="single" w:color="auto" w:sz="8" w:space="0"/>
              <w:right w:val="single" w:color="auto" w:sz="8" w:space="0"/>
            </w:tcBorders>
            <w:vAlign w:val="center"/>
          </w:tcPr>
          <w:p w14:paraId="75457CAB">
            <w:pPr>
              <w:keepNext w:val="0"/>
              <w:keepLines w:val="0"/>
              <w:pageBreakBefore w:val="0"/>
              <w:kinsoku/>
              <w:wordWrap/>
              <w:overflowPunct/>
              <w:topLinePunct w:val="0"/>
              <w:autoSpaceDE/>
              <w:autoSpaceDN/>
              <w:bidi w:val="0"/>
              <w:adjustRightInd/>
              <w:snapToGrid/>
              <w:spacing w:line="440" w:lineRule="exact"/>
              <w:jc w:val="left"/>
              <w:textAlignment w:val="auto"/>
              <w:rPr>
                <w:rFonts w:ascii="仿宋" w:hAnsi="仿宋" w:eastAsia="仿宋" w:cs="仿宋"/>
                <w:bCs/>
                <w:sz w:val="24"/>
                <w:szCs w:val="18"/>
                <w:highlight w:val="none"/>
              </w:rPr>
            </w:pPr>
            <w:r>
              <w:rPr>
                <w:rFonts w:hint="eastAsia" w:ascii="仿宋" w:hAnsi="仿宋" w:eastAsia="仿宋" w:cs="仿宋"/>
                <w:bCs/>
                <w:sz w:val="24"/>
                <w:szCs w:val="18"/>
                <w:highlight w:val="none"/>
              </w:rPr>
              <w:t>202</w:t>
            </w:r>
            <w:r>
              <w:rPr>
                <w:rFonts w:ascii="仿宋" w:hAnsi="仿宋" w:eastAsia="仿宋" w:cs="仿宋"/>
                <w:bCs/>
                <w:sz w:val="24"/>
                <w:szCs w:val="18"/>
                <w:highlight w:val="none"/>
              </w:rPr>
              <w:t>1</w:t>
            </w:r>
            <w:r>
              <w:rPr>
                <w:rFonts w:hint="eastAsia" w:ascii="仿宋" w:hAnsi="仿宋" w:eastAsia="仿宋" w:cs="仿宋"/>
                <w:bCs/>
                <w:sz w:val="24"/>
                <w:szCs w:val="18"/>
                <w:highlight w:val="none"/>
              </w:rPr>
              <w:t>年1月1日以来，</w:t>
            </w:r>
            <w:r>
              <w:rPr>
                <w:rFonts w:hint="eastAsia" w:ascii="仿宋" w:hAnsi="仿宋" w:eastAsia="仿宋" w:cs="仿宋"/>
                <w:bCs/>
                <w:sz w:val="24"/>
                <w:szCs w:val="18"/>
                <w:highlight w:val="none"/>
                <w:lang w:eastAsia="zh-CN"/>
              </w:rPr>
              <w:t>投标人</w:t>
            </w:r>
            <w:r>
              <w:rPr>
                <w:rFonts w:hint="eastAsia" w:ascii="仿宋" w:hAnsi="仿宋" w:eastAsia="仿宋" w:cs="仿宋"/>
                <w:bCs/>
                <w:sz w:val="24"/>
                <w:szCs w:val="18"/>
                <w:highlight w:val="none"/>
              </w:rPr>
              <w:t>获得招标采购行业主管部门或其指定公告媒体颁发或嘉奖的荣誉证书的，每提供一个得</w:t>
            </w:r>
            <w:r>
              <w:rPr>
                <w:rFonts w:ascii="仿宋" w:hAnsi="仿宋" w:eastAsia="仿宋" w:cs="仿宋"/>
                <w:bCs/>
                <w:sz w:val="24"/>
                <w:szCs w:val="18"/>
                <w:highlight w:val="none"/>
              </w:rPr>
              <w:t>1</w:t>
            </w:r>
            <w:r>
              <w:rPr>
                <w:rFonts w:hint="eastAsia" w:ascii="仿宋" w:hAnsi="仿宋" w:eastAsia="仿宋" w:cs="仿宋"/>
                <w:bCs/>
                <w:sz w:val="24"/>
                <w:szCs w:val="18"/>
                <w:highlight w:val="none"/>
              </w:rPr>
              <w:t>分，最多得</w:t>
            </w:r>
            <w:r>
              <w:rPr>
                <w:rFonts w:hint="eastAsia" w:ascii="仿宋" w:hAnsi="仿宋" w:eastAsia="仿宋" w:cs="仿宋"/>
                <w:bCs/>
                <w:sz w:val="24"/>
                <w:szCs w:val="18"/>
                <w:highlight w:val="none"/>
                <w:lang w:val="en-US" w:eastAsia="zh-CN"/>
              </w:rPr>
              <w:t>5</w:t>
            </w:r>
            <w:r>
              <w:rPr>
                <w:rFonts w:hint="eastAsia" w:ascii="仿宋" w:hAnsi="仿宋" w:eastAsia="仿宋" w:cs="仿宋"/>
                <w:bCs/>
                <w:sz w:val="24"/>
                <w:szCs w:val="18"/>
                <w:highlight w:val="none"/>
              </w:rPr>
              <w:t>分。（提供相关证书复印件）</w:t>
            </w:r>
          </w:p>
        </w:tc>
      </w:tr>
      <w:tr w14:paraId="03E00D9A">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998" w:hRule="atLeast"/>
        </w:trPr>
        <w:tc>
          <w:tcPr>
            <w:tcW w:w="417" w:type="pct"/>
            <w:tcBorders>
              <w:top w:val="single" w:color="auto" w:sz="8" w:space="0"/>
              <w:left w:val="single" w:color="auto" w:sz="8" w:space="0"/>
              <w:bottom w:val="single" w:color="auto" w:sz="4" w:space="0"/>
              <w:right w:val="single" w:color="auto" w:sz="8" w:space="0"/>
            </w:tcBorders>
            <w:vAlign w:val="center"/>
          </w:tcPr>
          <w:p w14:paraId="47A19413">
            <w:pPr>
              <w:keepNext w:val="0"/>
              <w:keepLines w:val="0"/>
              <w:pageBreakBefore w:val="0"/>
              <w:kinsoku/>
              <w:wordWrap/>
              <w:overflowPunct/>
              <w:topLinePunct w:val="0"/>
              <w:autoSpaceDE/>
              <w:autoSpaceDN/>
              <w:bidi w:val="0"/>
              <w:adjustRightInd/>
              <w:snapToGrid/>
              <w:spacing w:line="440" w:lineRule="exact"/>
              <w:jc w:val="left"/>
              <w:textAlignment w:val="auto"/>
              <w:rPr>
                <w:rFonts w:ascii="仿宋" w:hAnsi="仿宋" w:eastAsia="仿宋" w:cs="仿宋"/>
                <w:bCs/>
                <w:sz w:val="24"/>
                <w:szCs w:val="18"/>
                <w:highlight w:val="none"/>
              </w:rPr>
            </w:pPr>
            <w:r>
              <w:rPr>
                <w:rFonts w:hint="eastAsia" w:ascii="仿宋" w:hAnsi="仿宋" w:eastAsia="仿宋" w:cs="仿宋"/>
                <w:bCs/>
                <w:sz w:val="24"/>
                <w:szCs w:val="18"/>
                <w:highlight w:val="none"/>
              </w:rPr>
              <w:t>三</w:t>
            </w:r>
          </w:p>
        </w:tc>
        <w:tc>
          <w:tcPr>
            <w:tcW w:w="715" w:type="pct"/>
            <w:tcBorders>
              <w:top w:val="single" w:color="auto" w:sz="8" w:space="0"/>
              <w:left w:val="single" w:color="auto" w:sz="4" w:space="0"/>
              <w:bottom w:val="single" w:color="auto" w:sz="8" w:space="0"/>
              <w:right w:val="single" w:color="auto" w:sz="8" w:space="0"/>
            </w:tcBorders>
            <w:vAlign w:val="center"/>
          </w:tcPr>
          <w:p w14:paraId="3E16F961">
            <w:pPr>
              <w:keepNext w:val="0"/>
              <w:keepLines w:val="0"/>
              <w:pageBreakBefore w:val="0"/>
              <w:kinsoku/>
              <w:wordWrap/>
              <w:overflowPunct/>
              <w:topLinePunct w:val="0"/>
              <w:autoSpaceDE/>
              <w:autoSpaceDN/>
              <w:bidi w:val="0"/>
              <w:adjustRightInd/>
              <w:snapToGrid/>
              <w:spacing w:line="440" w:lineRule="exact"/>
              <w:jc w:val="left"/>
              <w:textAlignment w:val="auto"/>
              <w:rPr>
                <w:rFonts w:ascii="仿宋" w:hAnsi="仿宋" w:eastAsia="仿宋" w:cs="仿宋"/>
                <w:bCs/>
                <w:sz w:val="24"/>
                <w:szCs w:val="18"/>
                <w:highlight w:val="none"/>
              </w:rPr>
            </w:pPr>
            <w:r>
              <w:rPr>
                <w:rFonts w:hint="eastAsia" w:ascii="仿宋" w:hAnsi="仿宋" w:eastAsia="仿宋" w:cs="仿宋"/>
                <w:bCs/>
                <w:sz w:val="24"/>
                <w:szCs w:val="18"/>
                <w:highlight w:val="none"/>
              </w:rPr>
              <w:t>政府采购专职人员情况</w:t>
            </w:r>
          </w:p>
          <w:p w14:paraId="20155DD0">
            <w:pPr>
              <w:keepNext w:val="0"/>
              <w:keepLines w:val="0"/>
              <w:pageBreakBefore w:val="0"/>
              <w:kinsoku/>
              <w:wordWrap/>
              <w:overflowPunct/>
              <w:topLinePunct w:val="0"/>
              <w:autoSpaceDE/>
              <w:autoSpaceDN/>
              <w:bidi w:val="0"/>
              <w:adjustRightInd/>
              <w:snapToGrid/>
              <w:spacing w:line="440" w:lineRule="exact"/>
              <w:jc w:val="left"/>
              <w:textAlignment w:val="auto"/>
              <w:rPr>
                <w:rFonts w:ascii="仿宋" w:hAnsi="仿宋" w:eastAsia="仿宋" w:cs="仿宋"/>
                <w:bCs/>
                <w:sz w:val="24"/>
                <w:szCs w:val="18"/>
                <w:highlight w:val="none"/>
              </w:rPr>
            </w:pPr>
            <w:r>
              <w:rPr>
                <w:rFonts w:hint="eastAsia" w:ascii="仿宋" w:hAnsi="仿宋" w:eastAsia="仿宋" w:cs="仿宋"/>
                <w:bCs/>
                <w:sz w:val="24"/>
                <w:szCs w:val="18"/>
                <w:highlight w:val="none"/>
              </w:rPr>
              <w:t>（5分）</w:t>
            </w:r>
          </w:p>
        </w:tc>
        <w:tc>
          <w:tcPr>
            <w:tcW w:w="3867" w:type="pct"/>
            <w:tcBorders>
              <w:top w:val="single" w:color="auto" w:sz="8" w:space="0"/>
              <w:left w:val="single" w:color="auto" w:sz="8" w:space="0"/>
              <w:bottom w:val="single" w:color="auto" w:sz="8" w:space="0"/>
              <w:right w:val="single" w:color="auto" w:sz="8" w:space="0"/>
            </w:tcBorders>
            <w:vAlign w:val="center"/>
          </w:tcPr>
          <w:p w14:paraId="6CF59A6E">
            <w:pPr>
              <w:keepNext w:val="0"/>
              <w:keepLines w:val="0"/>
              <w:pageBreakBefore w:val="0"/>
              <w:kinsoku/>
              <w:wordWrap/>
              <w:overflowPunct/>
              <w:topLinePunct w:val="0"/>
              <w:autoSpaceDE/>
              <w:autoSpaceDN/>
              <w:bidi w:val="0"/>
              <w:adjustRightInd/>
              <w:snapToGrid/>
              <w:spacing w:line="440" w:lineRule="exact"/>
              <w:jc w:val="left"/>
              <w:textAlignment w:val="auto"/>
              <w:rPr>
                <w:rFonts w:ascii="仿宋" w:hAnsi="仿宋" w:eastAsia="仿宋" w:cs="仿宋"/>
                <w:bCs/>
                <w:sz w:val="24"/>
                <w:szCs w:val="18"/>
                <w:highlight w:val="none"/>
              </w:rPr>
            </w:pPr>
            <w:r>
              <w:rPr>
                <w:rFonts w:hint="eastAsia" w:ascii="仿宋" w:hAnsi="仿宋" w:eastAsia="仿宋" w:cs="仿宋"/>
                <w:bCs/>
                <w:sz w:val="24"/>
                <w:szCs w:val="18"/>
                <w:highlight w:val="none"/>
              </w:rPr>
              <w:t>对</w:t>
            </w:r>
            <w:r>
              <w:rPr>
                <w:rFonts w:hint="eastAsia" w:ascii="仿宋" w:hAnsi="仿宋" w:eastAsia="仿宋" w:cs="仿宋"/>
                <w:bCs/>
                <w:sz w:val="24"/>
                <w:szCs w:val="18"/>
                <w:highlight w:val="none"/>
                <w:lang w:eastAsia="zh-CN"/>
              </w:rPr>
              <w:t>投标人</w:t>
            </w:r>
            <w:r>
              <w:rPr>
                <w:rFonts w:hint="eastAsia" w:ascii="仿宋" w:hAnsi="仿宋" w:eastAsia="仿宋" w:cs="仿宋"/>
                <w:bCs/>
                <w:sz w:val="24"/>
                <w:szCs w:val="18"/>
                <w:highlight w:val="none"/>
              </w:rPr>
              <w:t>拥有的政府采购专职人员的数量进行评比排名（从多到少）：第一名5分，第二名4分，第三名3分，第四名2分，第五名及以后均得1分，但专职人员少于5人的不得分。</w:t>
            </w:r>
          </w:p>
          <w:p w14:paraId="51066312">
            <w:pPr>
              <w:keepNext w:val="0"/>
              <w:keepLines w:val="0"/>
              <w:pageBreakBefore w:val="0"/>
              <w:kinsoku/>
              <w:wordWrap/>
              <w:overflowPunct/>
              <w:topLinePunct w:val="0"/>
              <w:autoSpaceDE/>
              <w:autoSpaceDN/>
              <w:bidi w:val="0"/>
              <w:adjustRightInd/>
              <w:snapToGrid/>
              <w:spacing w:line="440" w:lineRule="exact"/>
              <w:jc w:val="left"/>
              <w:textAlignment w:val="auto"/>
              <w:rPr>
                <w:rFonts w:ascii="仿宋" w:hAnsi="仿宋" w:eastAsia="仿宋" w:cs="仿宋"/>
                <w:bCs/>
                <w:sz w:val="24"/>
                <w:szCs w:val="18"/>
                <w:highlight w:val="none"/>
              </w:rPr>
            </w:pPr>
            <w:r>
              <w:rPr>
                <w:rFonts w:hint="eastAsia" w:ascii="仿宋" w:hAnsi="仿宋" w:eastAsia="仿宋" w:cs="仿宋"/>
                <w:bCs/>
                <w:sz w:val="24"/>
                <w:szCs w:val="18"/>
                <w:highlight w:val="none"/>
              </w:rPr>
              <w:t>注：提供政府采购网备案截图，以及比选申请截止时间前</w:t>
            </w:r>
            <w:r>
              <w:rPr>
                <w:rFonts w:hint="eastAsia" w:ascii="仿宋" w:hAnsi="仿宋" w:eastAsia="仿宋" w:cs="仿宋"/>
                <w:bCs/>
                <w:sz w:val="24"/>
                <w:szCs w:val="18"/>
                <w:highlight w:val="none"/>
                <w:lang w:val="en-US" w:eastAsia="zh-CN"/>
              </w:rPr>
              <w:t>连续</w:t>
            </w:r>
            <w:r>
              <w:rPr>
                <w:rFonts w:hint="eastAsia" w:ascii="仿宋" w:hAnsi="仿宋" w:eastAsia="仿宋" w:cs="仿宋"/>
                <w:bCs/>
                <w:sz w:val="24"/>
                <w:szCs w:val="18"/>
                <w:highlight w:val="none"/>
              </w:rPr>
              <w:t>3个月的社保缴纳证明。</w:t>
            </w:r>
          </w:p>
        </w:tc>
      </w:tr>
      <w:tr w14:paraId="6B1FA47C">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474" w:hRule="atLeast"/>
        </w:trPr>
        <w:tc>
          <w:tcPr>
            <w:tcW w:w="417" w:type="pct"/>
            <w:tcBorders>
              <w:top w:val="single" w:color="auto" w:sz="8" w:space="0"/>
              <w:left w:val="single" w:color="auto" w:sz="8" w:space="0"/>
              <w:bottom w:val="single" w:color="auto" w:sz="8" w:space="0"/>
              <w:right w:val="single" w:color="auto" w:sz="8" w:space="0"/>
            </w:tcBorders>
            <w:vAlign w:val="center"/>
          </w:tcPr>
          <w:p w14:paraId="5368E4CB">
            <w:pPr>
              <w:keepNext w:val="0"/>
              <w:keepLines w:val="0"/>
              <w:pageBreakBefore w:val="0"/>
              <w:kinsoku/>
              <w:wordWrap/>
              <w:overflowPunct/>
              <w:topLinePunct w:val="0"/>
              <w:autoSpaceDE/>
              <w:autoSpaceDN/>
              <w:bidi w:val="0"/>
              <w:adjustRightInd/>
              <w:snapToGrid/>
              <w:spacing w:line="440" w:lineRule="exact"/>
              <w:jc w:val="left"/>
              <w:textAlignment w:val="auto"/>
              <w:rPr>
                <w:rFonts w:ascii="仿宋" w:hAnsi="仿宋" w:eastAsia="仿宋" w:cs="仿宋"/>
                <w:bCs/>
                <w:sz w:val="24"/>
                <w:szCs w:val="18"/>
                <w:highlight w:val="none"/>
              </w:rPr>
            </w:pPr>
            <w:r>
              <w:rPr>
                <w:rFonts w:hint="eastAsia" w:ascii="仿宋" w:hAnsi="仿宋" w:eastAsia="仿宋" w:cs="仿宋"/>
                <w:bCs/>
                <w:sz w:val="24"/>
                <w:szCs w:val="18"/>
                <w:highlight w:val="none"/>
              </w:rPr>
              <w:t>四、</w:t>
            </w:r>
          </w:p>
        </w:tc>
        <w:tc>
          <w:tcPr>
            <w:tcW w:w="715" w:type="pct"/>
            <w:tcBorders>
              <w:top w:val="single" w:color="auto" w:sz="8" w:space="0"/>
              <w:left w:val="single" w:color="auto" w:sz="4" w:space="0"/>
              <w:bottom w:val="single" w:color="auto" w:sz="8" w:space="0"/>
              <w:right w:val="single" w:color="auto" w:sz="8" w:space="0"/>
            </w:tcBorders>
            <w:vAlign w:val="center"/>
          </w:tcPr>
          <w:p w14:paraId="23881DFC">
            <w:pPr>
              <w:keepNext w:val="0"/>
              <w:keepLines w:val="0"/>
              <w:pageBreakBefore w:val="0"/>
              <w:kinsoku/>
              <w:wordWrap/>
              <w:overflowPunct/>
              <w:topLinePunct w:val="0"/>
              <w:autoSpaceDE/>
              <w:autoSpaceDN/>
              <w:bidi w:val="0"/>
              <w:adjustRightInd/>
              <w:snapToGrid/>
              <w:spacing w:line="440" w:lineRule="exact"/>
              <w:jc w:val="left"/>
              <w:textAlignment w:val="auto"/>
              <w:rPr>
                <w:rFonts w:ascii="仿宋" w:hAnsi="仿宋" w:eastAsia="仿宋" w:cs="仿宋"/>
                <w:bCs/>
                <w:sz w:val="24"/>
                <w:szCs w:val="18"/>
                <w:highlight w:val="none"/>
              </w:rPr>
            </w:pPr>
            <w:r>
              <w:rPr>
                <w:rFonts w:hint="eastAsia" w:ascii="仿宋" w:hAnsi="仿宋" w:eastAsia="仿宋" w:cs="仿宋"/>
                <w:bCs/>
                <w:sz w:val="24"/>
                <w:szCs w:val="18"/>
                <w:highlight w:val="none"/>
                <w:lang w:val="en-US" w:eastAsia="zh-CN"/>
              </w:rPr>
              <w:t>代理</w:t>
            </w:r>
            <w:r>
              <w:rPr>
                <w:rFonts w:hint="eastAsia" w:ascii="仿宋" w:hAnsi="仿宋" w:eastAsia="仿宋" w:cs="仿宋"/>
                <w:bCs/>
                <w:sz w:val="24"/>
                <w:szCs w:val="18"/>
                <w:highlight w:val="none"/>
              </w:rPr>
              <w:t>经验</w:t>
            </w:r>
          </w:p>
          <w:p w14:paraId="1AACF39C">
            <w:pPr>
              <w:keepNext w:val="0"/>
              <w:keepLines w:val="0"/>
              <w:pageBreakBefore w:val="0"/>
              <w:kinsoku/>
              <w:wordWrap/>
              <w:overflowPunct/>
              <w:topLinePunct w:val="0"/>
              <w:autoSpaceDE/>
              <w:autoSpaceDN/>
              <w:bidi w:val="0"/>
              <w:adjustRightInd/>
              <w:snapToGrid/>
              <w:spacing w:line="440" w:lineRule="exact"/>
              <w:jc w:val="left"/>
              <w:textAlignment w:val="auto"/>
              <w:rPr>
                <w:rFonts w:ascii="仿宋" w:hAnsi="仿宋" w:eastAsia="仿宋" w:cs="仿宋"/>
                <w:bCs/>
                <w:sz w:val="24"/>
                <w:szCs w:val="18"/>
                <w:highlight w:val="none"/>
              </w:rPr>
            </w:pPr>
            <w:r>
              <w:rPr>
                <w:rFonts w:hint="eastAsia" w:ascii="仿宋" w:hAnsi="仿宋" w:eastAsia="仿宋" w:cs="仿宋"/>
                <w:bCs/>
                <w:sz w:val="24"/>
                <w:szCs w:val="18"/>
                <w:highlight w:val="none"/>
              </w:rPr>
              <w:t>（</w:t>
            </w:r>
            <w:r>
              <w:rPr>
                <w:rFonts w:hint="eastAsia" w:ascii="仿宋" w:hAnsi="仿宋" w:eastAsia="仿宋" w:cs="仿宋"/>
                <w:bCs/>
                <w:sz w:val="24"/>
                <w:szCs w:val="18"/>
                <w:highlight w:val="none"/>
                <w:lang w:val="en-US" w:eastAsia="zh-CN"/>
              </w:rPr>
              <w:t>15</w:t>
            </w:r>
            <w:r>
              <w:rPr>
                <w:rFonts w:hint="eastAsia" w:ascii="仿宋" w:hAnsi="仿宋" w:eastAsia="仿宋" w:cs="仿宋"/>
                <w:bCs/>
                <w:sz w:val="24"/>
                <w:szCs w:val="18"/>
                <w:highlight w:val="none"/>
              </w:rPr>
              <w:t>分）</w:t>
            </w:r>
          </w:p>
        </w:tc>
        <w:tc>
          <w:tcPr>
            <w:tcW w:w="3867" w:type="pct"/>
            <w:tcBorders>
              <w:top w:val="single" w:color="auto" w:sz="8" w:space="0"/>
              <w:left w:val="single" w:color="auto" w:sz="8" w:space="0"/>
              <w:bottom w:val="single" w:color="auto" w:sz="4" w:space="0"/>
              <w:right w:val="single" w:color="auto" w:sz="8" w:space="0"/>
            </w:tcBorders>
            <w:vAlign w:val="center"/>
          </w:tcPr>
          <w:p w14:paraId="100AFBC5">
            <w:pPr>
              <w:keepNext w:val="0"/>
              <w:keepLines w:val="0"/>
              <w:pageBreakBefore w:val="0"/>
              <w:kinsoku/>
              <w:wordWrap/>
              <w:overflowPunct/>
              <w:topLinePunct w:val="0"/>
              <w:autoSpaceDE/>
              <w:autoSpaceDN/>
              <w:bidi w:val="0"/>
              <w:adjustRightInd/>
              <w:snapToGrid/>
              <w:spacing w:line="440" w:lineRule="exact"/>
              <w:jc w:val="left"/>
              <w:textAlignment w:val="auto"/>
              <w:rPr>
                <w:rFonts w:ascii="仿宋" w:hAnsi="仿宋" w:eastAsia="仿宋" w:cs="仿宋"/>
                <w:bCs/>
                <w:sz w:val="24"/>
                <w:szCs w:val="18"/>
                <w:highlight w:val="none"/>
              </w:rPr>
            </w:pPr>
            <w:r>
              <w:rPr>
                <w:rFonts w:hint="eastAsia" w:ascii="仿宋" w:hAnsi="仿宋" w:eastAsia="仿宋" w:cs="仿宋"/>
                <w:bCs/>
                <w:sz w:val="24"/>
                <w:szCs w:val="18"/>
                <w:highlight w:val="none"/>
              </w:rPr>
              <w:t>1、对</w:t>
            </w:r>
            <w:r>
              <w:rPr>
                <w:rFonts w:hint="eastAsia" w:ascii="仿宋" w:hAnsi="仿宋" w:eastAsia="仿宋" w:cs="仿宋"/>
                <w:bCs/>
                <w:sz w:val="24"/>
                <w:szCs w:val="18"/>
                <w:highlight w:val="none"/>
                <w:lang w:eastAsia="zh-CN"/>
              </w:rPr>
              <w:t>投标人</w:t>
            </w:r>
            <w:r>
              <w:rPr>
                <w:rFonts w:hint="eastAsia" w:ascii="仿宋" w:hAnsi="仿宋" w:eastAsia="仿宋" w:cs="仿宋"/>
                <w:bCs/>
                <w:sz w:val="24"/>
                <w:szCs w:val="18"/>
                <w:highlight w:val="none"/>
              </w:rPr>
              <w:t>202</w:t>
            </w:r>
            <w:r>
              <w:rPr>
                <w:rFonts w:ascii="仿宋" w:hAnsi="仿宋" w:eastAsia="仿宋" w:cs="仿宋"/>
                <w:bCs/>
                <w:sz w:val="24"/>
                <w:szCs w:val="18"/>
                <w:highlight w:val="none"/>
              </w:rPr>
              <w:t>1</w:t>
            </w:r>
            <w:r>
              <w:rPr>
                <w:rFonts w:hint="eastAsia" w:ascii="仿宋" w:hAnsi="仿宋" w:eastAsia="仿宋" w:cs="仿宋"/>
                <w:bCs/>
                <w:sz w:val="24"/>
                <w:szCs w:val="18"/>
                <w:highlight w:val="none"/>
              </w:rPr>
              <w:t>年1月1日以来在医疗卫生行业政府采购项目</w:t>
            </w:r>
            <w:r>
              <w:rPr>
                <w:rFonts w:hint="eastAsia" w:ascii="仿宋" w:hAnsi="仿宋" w:eastAsia="仿宋" w:cs="仿宋"/>
                <w:bCs/>
                <w:sz w:val="24"/>
                <w:szCs w:val="18"/>
                <w:highlight w:val="none"/>
                <w:lang w:val="en-US" w:eastAsia="zh-CN"/>
              </w:rPr>
              <w:t>且预算金额在400万元以上</w:t>
            </w:r>
            <w:r>
              <w:rPr>
                <w:rFonts w:hint="eastAsia" w:ascii="仿宋" w:hAnsi="仿宋" w:eastAsia="仿宋" w:cs="仿宋"/>
                <w:bCs/>
                <w:sz w:val="24"/>
                <w:szCs w:val="18"/>
                <w:highlight w:val="none"/>
              </w:rPr>
              <w:t>代理业绩</w:t>
            </w:r>
            <w:r>
              <w:rPr>
                <w:rFonts w:hint="eastAsia" w:ascii="仿宋" w:hAnsi="仿宋" w:eastAsia="仿宋" w:cs="仿宋"/>
                <w:bCs/>
                <w:sz w:val="24"/>
                <w:szCs w:val="18"/>
                <w:highlight w:val="none"/>
                <w:lang w:eastAsia="zh-CN"/>
              </w:rPr>
              <w:t>，</w:t>
            </w:r>
            <w:r>
              <w:rPr>
                <w:rFonts w:hint="eastAsia" w:ascii="仿宋" w:hAnsi="仿宋" w:eastAsia="仿宋" w:cs="仿宋"/>
                <w:bCs/>
                <w:sz w:val="24"/>
                <w:szCs w:val="18"/>
                <w:highlight w:val="none"/>
                <w:lang w:val="en-US" w:eastAsia="zh-CN"/>
              </w:rPr>
              <w:t>每有一个业绩得1分</w:t>
            </w:r>
            <w:r>
              <w:rPr>
                <w:rFonts w:hint="eastAsia" w:ascii="仿宋" w:hAnsi="仿宋" w:eastAsia="仿宋" w:cs="仿宋"/>
                <w:bCs/>
                <w:sz w:val="24"/>
                <w:szCs w:val="18"/>
                <w:highlight w:val="none"/>
              </w:rPr>
              <w:t>，最多得</w:t>
            </w:r>
            <w:r>
              <w:rPr>
                <w:rFonts w:hint="eastAsia" w:ascii="仿宋" w:hAnsi="仿宋" w:eastAsia="仿宋" w:cs="仿宋"/>
                <w:bCs/>
                <w:sz w:val="24"/>
                <w:szCs w:val="18"/>
                <w:highlight w:val="none"/>
                <w:lang w:val="en-US" w:eastAsia="zh-CN"/>
              </w:rPr>
              <w:t>10</w:t>
            </w:r>
            <w:r>
              <w:rPr>
                <w:rFonts w:hint="eastAsia" w:ascii="仿宋" w:hAnsi="仿宋" w:eastAsia="仿宋" w:cs="仿宋"/>
                <w:bCs/>
                <w:sz w:val="24"/>
                <w:szCs w:val="18"/>
                <w:highlight w:val="none"/>
              </w:rPr>
              <w:t xml:space="preserve">分； </w:t>
            </w:r>
          </w:p>
          <w:p w14:paraId="6BFE3D3E">
            <w:pPr>
              <w:keepNext w:val="0"/>
              <w:keepLines w:val="0"/>
              <w:pageBreakBefore w:val="0"/>
              <w:kinsoku/>
              <w:wordWrap/>
              <w:overflowPunct/>
              <w:topLinePunct w:val="0"/>
              <w:autoSpaceDE/>
              <w:autoSpaceDN/>
              <w:bidi w:val="0"/>
              <w:adjustRightInd/>
              <w:snapToGrid/>
              <w:spacing w:line="440" w:lineRule="exact"/>
              <w:jc w:val="left"/>
              <w:textAlignment w:val="auto"/>
              <w:rPr>
                <w:rFonts w:ascii="仿宋" w:hAnsi="仿宋" w:eastAsia="仿宋" w:cs="仿宋"/>
                <w:bCs/>
                <w:sz w:val="24"/>
                <w:szCs w:val="18"/>
                <w:highlight w:val="none"/>
              </w:rPr>
            </w:pPr>
            <w:r>
              <w:rPr>
                <w:rFonts w:hint="eastAsia" w:ascii="仿宋" w:hAnsi="仿宋" w:eastAsia="仿宋" w:cs="仿宋"/>
                <w:bCs/>
                <w:sz w:val="24"/>
                <w:szCs w:val="18"/>
                <w:highlight w:val="none"/>
              </w:rPr>
              <w:t>2、对</w:t>
            </w:r>
            <w:r>
              <w:rPr>
                <w:rFonts w:hint="eastAsia" w:ascii="仿宋" w:hAnsi="仿宋" w:eastAsia="仿宋" w:cs="仿宋"/>
                <w:bCs/>
                <w:sz w:val="24"/>
                <w:szCs w:val="18"/>
                <w:highlight w:val="none"/>
                <w:lang w:eastAsia="zh-CN"/>
              </w:rPr>
              <w:t>投标人</w:t>
            </w:r>
            <w:r>
              <w:rPr>
                <w:rFonts w:hint="eastAsia" w:ascii="仿宋" w:hAnsi="仿宋" w:eastAsia="仿宋" w:cs="仿宋"/>
                <w:bCs/>
                <w:sz w:val="24"/>
                <w:szCs w:val="18"/>
                <w:highlight w:val="none"/>
              </w:rPr>
              <w:t>202</w:t>
            </w:r>
            <w:r>
              <w:rPr>
                <w:rFonts w:ascii="仿宋" w:hAnsi="仿宋" w:eastAsia="仿宋" w:cs="仿宋"/>
                <w:bCs/>
                <w:sz w:val="24"/>
                <w:szCs w:val="18"/>
                <w:highlight w:val="none"/>
              </w:rPr>
              <w:t>1</w:t>
            </w:r>
            <w:r>
              <w:rPr>
                <w:rFonts w:hint="eastAsia" w:ascii="仿宋" w:hAnsi="仿宋" w:eastAsia="仿宋" w:cs="仿宋"/>
                <w:bCs/>
                <w:sz w:val="24"/>
                <w:szCs w:val="18"/>
                <w:highlight w:val="none"/>
              </w:rPr>
              <w:t>年1月1日以来在医疗卫生行业国际招标项目</w:t>
            </w:r>
            <w:r>
              <w:rPr>
                <w:rFonts w:hint="eastAsia" w:ascii="仿宋" w:hAnsi="仿宋" w:eastAsia="仿宋" w:cs="仿宋"/>
                <w:bCs/>
                <w:sz w:val="24"/>
                <w:szCs w:val="18"/>
                <w:highlight w:val="none"/>
                <w:lang w:val="en-US" w:eastAsia="zh-CN"/>
              </w:rPr>
              <w:t>且预算金额在400万元以上</w:t>
            </w:r>
            <w:r>
              <w:rPr>
                <w:rFonts w:hint="eastAsia" w:ascii="仿宋" w:hAnsi="仿宋" w:eastAsia="仿宋" w:cs="仿宋"/>
                <w:bCs/>
                <w:sz w:val="24"/>
                <w:szCs w:val="18"/>
                <w:highlight w:val="none"/>
              </w:rPr>
              <w:t>代理业绩进行评比：</w:t>
            </w:r>
            <w:r>
              <w:rPr>
                <w:rFonts w:hint="eastAsia" w:ascii="仿宋" w:hAnsi="仿宋" w:eastAsia="仿宋" w:cs="仿宋"/>
                <w:bCs/>
                <w:sz w:val="24"/>
                <w:szCs w:val="18"/>
                <w:highlight w:val="none"/>
                <w:lang w:val="en-US" w:eastAsia="zh-CN"/>
              </w:rPr>
              <w:t>每有一个业绩得1分</w:t>
            </w:r>
            <w:r>
              <w:rPr>
                <w:rFonts w:hint="eastAsia" w:ascii="仿宋" w:hAnsi="仿宋" w:eastAsia="仿宋" w:cs="仿宋"/>
                <w:bCs/>
                <w:sz w:val="24"/>
                <w:szCs w:val="18"/>
                <w:highlight w:val="none"/>
              </w:rPr>
              <w:t>，最多得</w:t>
            </w:r>
            <w:r>
              <w:rPr>
                <w:rFonts w:hint="eastAsia" w:ascii="仿宋" w:hAnsi="仿宋" w:eastAsia="仿宋" w:cs="仿宋"/>
                <w:bCs/>
                <w:sz w:val="24"/>
                <w:szCs w:val="18"/>
                <w:highlight w:val="none"/>
                <w:lang w:val="en-US" w:eastAsia="zh-CN"/>
              </w:rPr>
              <w:t>5</w:t>
            </w:r>
            <w:r>
              <w:rPr>
                <w:rFonts w:hint="eastAsia" w:ascii="仿宋" w:hAnsi="仿宋" w:eastAsia="仿宋" w:cs="仿宋"/>
                <w:bCs/>
                <w:sz w:val="24"/>
                <w:szCs w:val="18"/>
                <w:highlight w:val="none"/>
              </w:rPr>
              <w:t>分；</w:t>
            </w:r>
          </w:p>
          <w:p w14:paraId="049BAB3A">
            <w:pPr>
              <w:keepNext w:val="0"/>
              <w:keepLines w:val="0"/>
              <w:pageBreakBefore w:val="0"/>
              <w:kinsoku/>
              <w:wordWrap/>
              <w:overflowPunct/>
              <w:topLinePunct w:val="0"/>
              <w:autoSpaceDE/>
              <w:autoSpaceDN/>
              <w:bidi w:val="0"/>
              <w:adjustRightInd/>
              <w:snapToGrid/>
              <w:spacing w:line="440" w:lineRule="exact"/>
              <w:jc w:val="left"/>
              <w:textAlignment w:val="auto"/>
              <w:rPr>
                <w:rFonts w:ascii="仿宋" w:hAnsi="仿宋" w:eastAsia="仿宋" w:cs="仿宋"/>
                <w:bCs/>
                <w:sz w:val="24"/>
                <w:szCs w:val="18"/>
                <w:highlight w:val="none"/>
              </w:rPr>
            </w:pPr>
            <w:r>
              <w:rPr>
                <w:rFonts w:hint="eastAsia" w:ascii="仿宋" w:hAnsi="仿宋" w:eastAsia="仿宋" w:cs="仿宋"/>
                <w:bCs/>
                <w:sz w:val="24"/>
                <w:szCs w:val="18"/>
                <w:highlight w:val="none"/>
              </w:rPr>
              <w:t>注：提供项目业绩清单</w:t>
            </w:r>
            <w:r>
              <w:rPr>
                <w:rFonts w:hint="eastAsia" w:ascii="仿宋" w:hAnsi="仿宋" w:eastAsia="仿宋" w:cs="仿宋"/>
                <w:bCs/>
                <w:sz w:val="24"/>
                <w:szCs w:val="18"/>
                <w:highlight w:val="none"/>
                <w:lang w:val="en-US" w:eastAsia="zh-CN"/>
              </w:rPr>
              <w:t>+单项委托代理协议</w:t>
            </w:r>
            <w:r>
              <w:rPr>
                <w:rFonts w:hint="eastAsia" w:ascii="仿宋" w:hAnsi="仿宋" w:eastAsia="仿宋" w:cs="仿宋"/>
                <w:bCs/>
                <w:sz w:val="24"/>
                <w:szCs w:val="18"/>
                <w:highlight w:val="none"/>
              </w:rPr>
              <w:t>，业绩以项目的</w:t>
            </w:r>
            <w:r>
              <w:rPr>
                <w:rFonts w:hint="eastAsia" w:ascii="仿宋" w:hAnsi="仿宋" w:eastAsia="仿宋" w:cs="仿宋"/>
                <w:bCs/>
                <w:sz w:val="24"/>
                <w:szCs w:val="18"/>
                <w:highlight w:val="none"/>
                <w:lang w:val="en-US" w:eastAsia="zh-CN"/>
              </w:rPr>
              <w:t>预算</w:t>
            </w:r>
            <w:r>
              <w:rPr>
                <w:rFonts w:hint="eastAsia" w:ascii="仿宋" w:hAnsi="仿宋" w:eastAsia="仿宋" w:cs="仿宋"/>
                <w:bCs/>
                <w:sz w:val="24"/>
                <w:szCs w:val="18"/>
                <w:highlight w:val="none"/>
              </w:rPr>
              <w:t>金额为准，申请人须严格按照第三章业绩表格格式填写。</w:t>
            </w:r>
            <w:r>
              <w:rPr>
                <w:rFonts w:hint="eastAsia" w:ascii="仿宋" w:hAnsi="仿宋" w:eastAsia="仿宋" w:cs="仿宋"/>
                <w:bCs/>
                <w:sz w:val="24"/>
                <w:szCs w:val="18"/>
                <w:highlight w:val="none"/>
                <w:lang w:eastAsia="zh-CN"/>
              </w:rPr>
              <w:t>采购人</w:t>
            </w:r>
            <w:r>
              <w:rPr>
                <w:rFonts w:hint="eastAsia" w:ascii="仿宋" w:hAnsi="仿宋" w:eastAsia="仿宋" w:cs="仿宋"/>
                <w:bCs/>
                <w:sz w:val="24"/>
                <w:szCs w:val="18"/>
                <w:highlight w:val="none"/>
              </w:rPr>
              <w:t>有权根据申请人提供的信息在相关网站上进行查询（公告上信息不全的，</w:t>
            </w:r>
            <w:r>
              <w:rPr>
                <w:rFonts w:hint="eastAsia" w:ascii="仿宋" w:hAnsi="仿宋" w:eastAsia="仿宋" w:cs="仿宋"/>
                <w:bCs/>
                <w:sz w:val="24"/>
                <w:szCs w:val="18"/>
                <w:highlight w:val="none"/>
                <w:lang w:eastAsia="zh-CN"/>
              </w:rPr>
              <w:t>采购人</w:t>
            </w:r>
            <w:r>
              <w:rPr>
                <w:rFonts w:hint="eastAsia" w:ascii="仿宋" w:hAnsi="仿宋" w:eastAsia="仿宋" w:cs="仿宋"/>
                <w:bCs/>
                <w:sz w:val="24"/>
                <w:szCs w:val="18"/>
                <w:highlight w:val="none"/>
              </w:rPr>
              <w:t>在任何时候都有权要求申请人提供更多相关资料或招标采购单位联系方式进行进一步查询核实），一旦发现实质性虚假信息，将取消中选资格，并上报相关管理部门。</w:t>
            </w:r>
          </w:p>
        </w:tc>
      </w:tr>
      <w:tr w14:paraId="511D6EE6">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547" w:hRule="atLeast"/>
        </w:trPr>
        <w:tc>
          <w:tcPr>
            <w:tcW w:w="417" w:type="pct"/>
            <w:tcBorders>
              <w:top w:val="single" w:color="auto" w:sz="8" w:space="0"/>
              <w:left w:val="single" w:color="auto" w:sz="8" w:space="0"/>
              <w:bottom w:val="single" w:color="auto" w:sz="4" w:space="0"/>
              <w:right w:val="single" w:color="auto" w:sz="8" w:space="0"/>
            </w:tcBorders>
            <w:vAlign w:val="center"/>
          </w:tcPr>
          <w:p w14:paraId="4E124961">
            <w:pPr>
              <w:keepNext w:val="0"/>
              <w:keepLines w:val="0"/>
              <w:pageBreakBefore w:val="0"/>
              <w:kinsoku/>
              <w:wordWrap/>
              <w:overflowPunct/>
              <w:topLinePunct w:val="0"/>
              <w:autoSpaceDE/>
              <w:autoSpaceDN/>
              <w:bidi w:val="0"/>
              <w:adjustRightInd/>
              <w:snapToGrid/>
              <w:spacing w:line="440" w:lineRule="exact"/>
              <w:jc w:val="left"/>
              <w:textAlignment w:val="auto"/>
              <w:rPr>
                <w:rFonts w:ascii="仿宋" w:hAnsi="仿宋" w:eastAsia="仿宋" w:cs="仿宋"/>
                <w:bCs/>
                <w:sz w:val="24"/>
                <w:szCs w:val="18"/>
                <w:highlight w:val="none"/>
              </w:rPr>
            </w:pPr>
            <w:r>
              <w:rPr>
                <w:rFonts w:hint="eastAsia" w:ascii="仿宋" w:hAnsi="仿宋" w:eastAsia="仿宋" w:cs="仿宋"/>
                <w:bCs/>
                <w:sz w:val="24"/>
                <w:szCs w:val="18"/>
                <w:highlight w:val="none"/>
              </w:rPr>
              <w:t>五</w:t>
            </w:r>
          </w:p>
        </w:tc>
        <w:tc>
          <w:tcPr>
            <w:tcW w:w="715" w:type="pct"/>
            <w:tcBorders>
              <w:top w:val="single" w:color="auto" w:sz="8" w:space="0"/>
              <w:left w:val="single" w:color="auto" w:sz="4" w:space="0"/>
              <w:bottom w:val="single" w:color="auto" w:sz="8" w:space="0"/>
              <w:right w:val="single" w:color="auto" w:sz="8" w:space="0"/>
            </w:tcBorders>
            <w:vAlign w:val="center"/>
          </w:tcPr>
          <w:p w14:paraId="1511303D">
            <w:pPr>
              <w:keepNext w:val="0"/>
              <w:keepLines w:val="0"/>
              <w:pageBreakBefore w:val="0"/>
              <w:kinsoku/>
              <w:wordWrap/>
              <w:overflowPunct/>
              <w:topLinePunct w:val="0"/>
              <w:autoSpaceDE/>
              <w:autoSpaceDN/>
              <w:bidi w:val="0"/>
              <w:adjustRightInd/>
              <w:snapToGrid/>
              <w:spacing w:line="440" w:lineRule="exact"/>
              <w:jc w:val="left"/>
              <w:textAlignment w:val="auto"/>
              <w:rPr>
                <w:rFonts w:ascii="仿宋" w:hAnsi="仿宋" w:eastAsia="仿宋" w:cs="仿宋"/>
                <w:bCs/>
                <w:sz w:val="24"/>
                <w:szCs w:val="18"/>
                <w:highlight w:val="none"/>
              </w:rPr>
            </w:pPr>
            <w:r>
              <w:rPr>
                <w:rFonts w:hint="eastAsia" w:ascii="仿宋" w:hAnsi="仿宋" w:eastAsia="仿宋" w:cs="仿宋"/>
                <w:bCs/>
                <w:sz w:val="24"/>
                <w:szCs w:val="18"/>
                <w:highlight w:val="none"/>
              </w:rPr>
              <w:t>本项目配置人员</w:t>
            </w:r>
          </w:p>
          <w:p w14:paraId="2024B2A2">
            <w:pPr>
              <w:keepNext w:val="0"/>
              <w:keepLines w:val="0"/>
              <w:pageBreakBefore w:val="0"/>
              <w:kinsoku/>
              <w:wordWrap/>
              <w:overflowPunct/>
              <w:topLinePunct w:val="0"/>
              <w:autoSpaceDE/>
              <w:autoSpaceDN/>
              <w:bidi w:val="0"/>
              <w:adjustRightInd/>
              <w:snapToGrid/>
              <w:spacing w:line="440" w:lineRule="exact"/>
              <w:jc w:val="left"/>
              <w:textAlignment w:val="auto"/>
              <w:rPr>
                <w:rFonts w:ascii="仿宋" w:hAnsi="仿宋" w:eastAsia="仿宋" w:cs="仿宋"/>
                <w:bCs/>
                <w:sz w:val="24"/>
                <w:szCs w:val="18"/>
                <w:highlight w:val="none"/>
              </w:rPr>
            </w:pPr>
            <w:r>
              <w:rPr>
                <w:rFonts w:hint="eastAsia" w:ascii="仿宋" w:hAnsi="仿宋" w:eastAsia="仿宋" w:cs="仿宋"/>
                <w:bCs/>
                <w:sz w:val="24"/>
                <w:szCs w:val="18"/>
                <w:highlight w:val="none"/>
              </w:rPr>
              <w:t>（</w:t>
            </w:r>
            <w:r>
              <w:rPr>
                <w:rFonts w:hint="eastAsia" w:ascii="仿宋" w:hAnsi="仿宋" w:eastAsia="仿宋" w:cs="仿宋"/>
                <w:bCs/>
                <w:sz w:val="24"/>
                <w:szCs w:val="18"/>
                <w:highlight w:val="none"/>
                <w:lang w:val="en-US" w:eastAsia="zh-CN"/>
              </w:rPr>
              <w:t>14</w:t>
            </w:r>
            <w:r>
              <w:rPr>
                <w:rFonts w:hint="eastAsia" w:ascii="仿宋" w:hAnsi="仿宋" w:eastAsia="仿宋" w:cs="仿宋"/>
                <w:bCs/>
                <w:sz w:val="24"/>
                <w:szCs w:val="18"/>
                <w:highlight w:val="none"/>
              </w:rPr>
              <w:t>分）</w:t>
            </w:r>
          </w:p>
        </w:tc>
        <w:tc>
          <w:tcPr>
            <w:tcW w:w="3867" w:type="pct"/>
            <w:tcBorders>
              <w:top w:val="single" w:color="auto" w:sz="8" w:space="0"/>
              <w:left w:val="single" w:color="auto" w:sz="8" w:space="0"/>
              <w:bottom w:val="single" w:color="auto" w:sz="8" w:space="0"/>
              <w:right w:val="single" w:color="auto" w:sz="8" w:space="0"/>
            </w:tcBorders>
            <w:vAlign w:val="center"/>
          </w:tcPr>
          <w:p w14:paraId="1E7151C3">
            <w:pPr>
              <w:keepNext w:val="0"/>
              <w:keepLines w:val="0"/>
              <w:pageBreakBefore w:val="0"/>
              <w:widowControl/>
              <w:kinsoku/>
              <w:wordWrap/>
              <w:overflowPunct/>
              <w:topLinePunct w:val="0"/>
              <w:autoSpaceDE/>
              <w:autoSpaceDN/>
              <w:bidi w:val="0"/>
              <w:adjustRightInd/>
              <w:snapToGrid/>
              <w:spacing w:line="440" w:lineRule="exact"/>
              <w:jc w:val="left"/>
              <w:textAlignment w:val="auto"/>
              <w:rPr>
                <w:rFonts w:ascii="仿宋" w:hAnsi="仿宋" w:eastAsia="仿宋" w:cs="仿宋"/>
                <w:bCs/>
                <w:sz w:val="24"/>
                <w:szCs w:val="18"/>
                <w:highlight w:val="none"/>
              </w:rPr>
            </w:pPr>
            <w:r>
              <w:rPr>
                <w:rFonts w:hint="eastAsia" w:ascii="仿宋" w:hAnsi="仿宋" w:eastAsia="仿宋" w:cs="仿宋"/>
                <w:bCs/>
                <w:sz w:val="24"/>
                <w:szCs w:val="18"/>
                <w:highlight w:val="none"/>
              </w:rPr>
              <w:t>对拟投入本项目的项目服务团队按以下规则进行评审：</w:t>
            </w:r>
          </w:p>
          <w:p w14:paraId="44433161">
            <w:pPr>
              <w:keepNext w:val="0"/>
              <w:keepLines w:val="0"/>
              <w:pageBreakBefore w:val="0"/>
              <w:widowControl/>
              <w:kinsoku/>
              <w:wordWrap/>
              <w:overflowPunct/>
              <w:topLinePunct w:val="0"/>
              <w:autoSpaceDE/>
              <w:autoSpaceDN/>
              <w:bidi w:val="0"/>
              <w:adjustRightInd/>
              <w:snapToGrid/>
              <w:spacing w:line="440" w:lineRule="exact"/>
              <w:jc w:val="left"/>
              <w:textAlignment w:val="auto"/>
              <w:rPr>
                <w:rFonts w:ascii="仿宋" w:hAnsi="仿宋" w:eastAsia="仿宋" w:cs="仿宋"/>
                <w:bCs/>
                <w:sz w:val="24"/>
                <w:szCs w:val="18"/>
                <w:highlight w:val="none"/>
              </w:rPr>
            </w:pPr>
            <w:r>
              <w:rPr>
                <w:rFonts w:hint="eastAsia" w:ascii="仿宋" w:hAnsi="仿宋" w:eastAsia="仿宋" w:cs="仿宋"/>
                <w:bCs/>
                <w:sz w:val="24"/>
                <w:szCs w:val="18"/>
                <w:highlight w:val="none"/>
              </w:rPr>
              <w:t>1、对项目负责人进行评比（共</w:t>
            </w:r>
            <w:r>
              <w:rPr>
                <w:rFonts w:hint="eastAsia" w:ascii="仿宋" w:hAnsi="仿宋" w:eastAsia="仿宋" w:cs="仿宋"/>
                <w:bCs/>
                <w:sz w:val="24"/>
                <w:szCs w:val="18"/>
                <w:highlight w:val="none"/>
                <w:lang w:val="en-US" w:eastAsia="zh-CN"/>
              </w:rPr>
              <w:t>8</w:t>
            </w:r>
            <w:r>
              <w:rPr>
                <w:rFonts w:hint="eastAsia" w:ascii="仿宋" w:hAnsi="仿宋" w:eastAsia="仿宋" w:cs="仿宋"/>
                <w:bCs/>
                <w:sz w:val="24"/>
                <w:szCs w:val="18"/>
                <w:highlight w:val="none"/>
              </w:rPr>
              <w:t>分）：</w:t>
            </w:r>
          </w:p>
          <w:p w14:paraId="094C7DBF">
            <w:pPr>
              <w:keepNext w:val="0"/>
              <w:keepLines w:val="0"/>
              <w:pageBreakBefore w:val="0"/>
              <w:widowControl/>
              <w:kinsoku/>
              <w:wordWrap/>
              <w:overflowPunct/>
              <w:topLinePunct w:val="0"/>
              <w:autoSpaceDE/>
              <w:autoSpaceDN/>
              <w:bidi w:val="0"/>
              <w:adjustRightInd/>
              <w:snapToGrid/>
              <w:spacing w:line="440" w:lineRule="exact"/>
              <w:jc w:val="left"/>
              <w:textAlignment w:val="auto"/>
              <w:rPr>
                <w:rFonts w:ascii="仿宋" w:hAnsi="仿宋" w:eastAsia="仿宋" w:cs="仿宋"/>
                <w:bCs/>
                <w:sz w:val="24"/>
                <w:szCs w:val="18"/>
                <w:highlight w:val="none"/>
              </w:rPr>
            </w:pPr>
            <w:r>
              <w:rPr>
                <w:rFonts w:hint="eastAsia" w:ascii="仿宋" w:hAnsi="仿宋" w:eastAsia="仿宋" w:cs="仿宋"/>
                <w:bCs/>
                <w:sz w:val="24"/>
                <w:szCs w:val="18"/>
                <w:highlight w:val="none"/>
              </w:rPr>
              <w:t>1</w:t>
            </w:r>
            <w:r>
              <w:rPr>
                <w:rFonts w:ascii="仿宋" w:hAnsi="仿宋" w:eastAsia="仿宋" w:cs="仿宋"/>
                <w:bCs/>
                <w:sz w:val="24"/>
                <w:szCs w:val="18"/>
                <w:highlight w:val="none"/>
              </w:rPr>
              <w:t>.1</w:t>
            </w:r>
            <w:r>
              <w:rPr>
                <w:rFonts w:hint="eastAsia" w:ascii="仿宋" w:hAnsi="仿宋" w:eastAsia="仿宋" w:cs="仿宋"/>
                <w:bCs/>
                <w:sz w:val="24"/>
                <w:szCs w:val="18"/>
                <w:highlight w:val="none"/>
              </w:rPr>
              <w:t>具有高级职称得</w:t>
            </w:r>
            <w:r>
              <w:rPr>
                <w:rFonts w:ascii="仿宋" w:hAnsi="仿宋" w:eastAsia="仿宋" w:cs="仿宋"/>
                <w:bCs/>
                <w:sz w:val="24"/>
                <w:szCs w:val="18"/>
                <w:highlight w:val="none"/>
              </w:rPr>
              <w:t>2</w:t>
            </w:r>
            <w:r>
              <w:rPr>
                <w:rFonts w:hint="eastAsia" w:ascii="仿宋" w:hAnsi="仿宋" w:eastAsia="仿宋" w:cs="仿宋"/>
                <w:bCs/>
                <w:sz w:val="24"/>
                <w:szCs w:val="18"/>
                <w:highlight w:val="none"/>
              </w:rPr>
              <w:t>分；</w:t>
            </w:r>
            <w:r>
              <w:rPr>
                <w:rFonts w:ascii="仿宋" w:hAnsi="仿宋" w:eastAsia="仿宋" w:cs="仿宋"/>
                <w:bCs/>
                <w:sz w:val="24"/>
                <w:szCs w:val="18"/>
                <w:highlight w:val="none"/>
              </w:rPr>
              <w:t xml:space="preserve"> </w:t>
            </w:r>
          </w:p>
          <w:p w14:paraId="39FEBE27">
            <w:pPr>
              <w:keepNext w:val="0"/>
              <w:keepLines w:val="0"/>
              <w:pageBreakBefore w:val="0"/>
              <w:widowControl/>
              <w:kinsoku/>
              <w:wordWrap/>
              <w:overflowPunct/>
              <w:topLinePunct w:val="0"/>
              <w:autoSpaceDE/>
              <w:autoSpaceDN/>
              <w:bidi w:val="0"/>
              <w:adjustRightInd/>
              <w:snapToGrid/>
              <w:spacing w:line="440" w:lineRule="exact"/>
              <w:jc w:val="left"/>
              <w:textAlignment w:val="auto"/>
              <w:rPr>
                <w:rFonts w:ascii="仿宋" w:hAnsi="仿宋" w:eastAsia="仿宋" w:cs="仿宋"/>
                <w:bCs/>
                <w:sz w:val="24"/>
                <w:szCs w:val="18"/>
                <w:highlight w:val="none"/>
              </w:rPr>
            </w:pPr>
            <w:r>
              <w:rPr>
                <w:rFonts w:hint="eastAsia" w:ascii="仿宋" w:hAnsi="仿宋" w:eastAsia="仿宋" w:cs="仿宋"/>
                <w:bCs/>
                <w:sz w:val="24"/>
                <w:szCs w:val="18"/>
                <w:highlight w:val="none"/>
              </w:rPr>
              <w:t>1</w:t>
            </w:r>
            <w:r>
              <w:rPr>
                <w:rFonts w:ascii="仿宋" w:hAnsi="仿宋" w:eastAsia="仿宋" w:cs="仿宋"/>
                <w:bCs/>
                <w:sz w:val="24"/>
                <w:szCs w:val="18"/>
                <w:highlight w:val="none"/>
              </w:rPr>
              <w:t>.</w:t>
            </w:r>
            <w:r>
              <w:rPr>
                <w:rFonts w:hint="eastAsia" w:ascii="仿宋" w:hAnsi="仿宋" w:eastAsia="仿宋" w:cs="仿宋"/>
                <w:bCs/>
                <w:sz w:val="24"/>
                <w:szCs w:val="18"/>
                <w:highlight w:val="none"/>
                <w:lang w:val="en-US" w:eastAsia="zh-CN"/>
              </w:rPr>
              <w:t>2</w:t>
            </w:r>
            <w:r>
              <w:rPr>
                <w:rFonts w:hint="eastAsia" w:ascii="仿宋" w:hAnsi="仿宋" w:eastAsia="仿宋" w:cs="仿宋"/>
                <w:bCs/>
                <w:sz w:val="24"/>
                <w:szCs w:val="18"/>
                <w:highlight w:val="none"/>
              </w:rPr>
              <w:t>具有政府采购评审专家资格的得</w:t>
            </w:r>
            <w:r>
              <w:rPr>
                <w:rFonts w:ascii="仿宋" w:hAnsi="仿宋" w:eastAsia="仿宋" w:cs="仿宋"/>
                <w:bCs/>
                <w:sz w:val="24"/>
                <w:szCs w:val="18"/>
                <w:highlight w:val="none"/>
              </w:rPr>
              <w:t>2</w:t>
            </w:r>
            <w:r>
              <w:rPr>
                <w:rFonts w:hint="eastAsia" w:ascii="仿宋" w:hAnsi="仿宋" w:eastAsia="仿宋" w:cs="仿宋"/>
                <w:bCs/>
                <w:sz w:val="24"/>
                <w:szCs w:val="18"/>
                <w:highlight w:val="none"/>
              </w:rPr>
              <w:t>分；</w:t>
            </w:r>
            <w:r>
              <w:rPr>
                <w:rFonts w:ascii="仿宋" w:hAnsi="仿宋" w:eastAsia="仿宋" w:cs="仿宋"/>
                <w:bCs/>
                <w:sz w:val="24"/>
                <w:szCs w:val="18"/>
                <w:highlight w:val="none"/>
              </w:rPr>
              <w:t xml:space="preserve"> </w:t>
            </w:r>
          </w:p>
          <w:p w14:paraId="40AEDC06">
            <w:pPr>
              <w:keepNext w:val="0"/>
              <w:keepLines w:val="0"/>
              <w:pageBreakBefore w:val="0"/>
              <w:widowControl/>
              <w:kinsoku/>
              <w:wordWrap/>
              <w:overflowPunct/>
              <w:topLinePunct w:val="0"/>
              <w:autoSpaceDE/>
              <w:autoSpaceDN/>
              <w:bidi w:val="0"/>
              <w:adjustRightInd/>
              <w:snapToGrid/>
              <w:spacing w:line="440" w:lineRule="exact"/>
              <w:jc w:val="left"/>
              <w:textAlignment w:val="auto"/>
              <w:rPr>
                <w:rFonts w:ascii="仿宋" w:hAnsi="仿宋" w:eastAsia="仿宋" w:cs="仿宋"/>
                <w:bCs/>
                <w:sz w:val="24"/>
                <w:szCs w:val="18"/>
                <w:highlight w:val="none"/>
              </w:rPr>
            </w:pPr>
            <w:r>
              <w:rPr>
                <w:rFonts w:hint="eastAsia" w:ascii="仿宋" w:hAnsi="仿宋" w:eastAsia="仿宋" w:cs="仿宋"/>
                <w:bCs/>
                <w:sz w:val="24"/>
                <w:szCs w:val="18"/>
                <w:highlight w:val="none"/>
              </w:rPr>
              <w:t>1</w:t>
            </w:r>
            <w:r>
              <w:rPr>
                <w:rFonts w:ascii="仿宋" w:hAnsi="仿宋" w:eastAsia="仿宋" w:cs="仿宋"/>
                <w:bCs/>
                <w:sz w:val="24"/>
                <w:szCs w:val="18"/>
                <w:highlight w:val="none"/>
              </w:rPr>
              <w:t>.</w:t>
            </w:r>
            <w:r>
              <w:rPr>
                <w:rFonts w:hint="eastAsia" w:ascii="仿宋" w:hAnsi="仿宋" w:eastAsia="仿宋" w:cs="仿宋"/>
                <w:bCs/>
                <w:sz w:val="24"/>
                <w:szCs w:val="18"/>
                <w:highlight w:val="none"/>
                <w:lang w:val="en-US" w:eastAsia="zh-CN"/>
              </w:rPr>
              <w:t>3</w:t>
            </w:r>
            <w:r>
              <w:rPr>
                <w:rFonts w:hint="eastAsia" w:ascii="仿宋" w:hAnsi="仿宋" w:eastAsia="仿宋" w:cs="仿宋"/>
                <w:bCs/>
                <w:sz w:val="24"/>
                <w:szCs w:val="18"/>
                <w:highlight w:val="none"/>
              </w:rPr>
              <w:t>具有五年及以上政府采购代理经验的得</w:t>
            </w:r>
            <w:r>
              <w:rPr>
                <w:rFonts w:ascii="仿宋" w:hAnsi="仿宋" w:eastAsia="仿宋" w:cs="仿宋"/>
                <w:bCs/>
                <w:sz w:val="24"/>
                <w:szCs w:val="18"/>
                <w:highlight w:val="none"/>
              </w:rPr>
              <w:t>3</w:t>
            </w:r>
            <w:r>
              <w:rPr>
                <w:rFonts w:hint="eastAsia" w:ascii="仿宋" w:hAnsi="仿宋" w:eastAsia="仿宋" w:cs="仿宋"/>
                <w:bCs/>
                <w:sz w:val="24"/>
                <w:szCs w:val="18"/>
                <w:highlight w:val="none"/>
              </w:rPr>
              <w:t>分，具有十年及以上政府采购代理经验的得</w:t>
            </w:r>
            <w:r>
              <w:rPr>
                <w:rFonts w:ascii="仿宋" w:hAnsi="仿宋" w:eastAsia="仿宋" w:cs="仿宋"/>
                <w:bCs/>
                <w:sz w:val="24"/>
                <w:szCs w:val="18"/>
                <w:highlight w:val="none"/>
              </w:rPr>
              <w:t>4</w:t>
            </w:r>
            <w:r>
              <w:rPr>
                <w:rFonts w:hint="eastAsia" w:ascii="仿宋" w:hAnsi="仿宋" w:eastAsia="仿宋" w:cs="仿宋"/>
                <w:bCs/>
                <w:sz w:val="24"/>
                <w:szCs w:val="18"/>
                <w:highlight w:val="none"/>
              </w:rPr>
              <w:t>分。</w:t>
            </w:r>
          </w:p>
          <w:p w14:paraId="0EA121F6">
            <w:pPr>
              <w:keepNext w:val="0"/>
              <w:keepLines w:val="0"/>
              <w:pageBreakBefore w:val="0"/>
              <w:widowControl/>
              <w:kinsoku/>
              <w:wordWrap/>
              <w:overflowPunct/>
              <w:topLinePunct w:val="0"/>
              <w:autoSpaceDE/>
              <w:autoSpaceDN/>
              <w:bidi w:val="0"/>
              <w:adjustRightInd/>
              <w:snapToGrid/>
              <w:spacing w:line="440" w:lineRule="exact"/>
              <w:jc w:val="left"/>
              <w:textAlignment w:val="auto"/>
              <w:rPr>
                <w:rFonts w:ascii="仿宋" w:hAnsi="仿宋" w:eastAsia="仿宋" w:cs="仿宋"/>
                <w:bCs/>
                <w:sz w:val="24"/>
                <w:szCs w:val="18"/>
                <w:highlight w:val="none"/>
              </w:rPr>
            </w:pPr>
            <w:r>
              <w:rPr>
                <w:rFonts w:hint="eastAsia" w:ascii="仿宋" w:hAnsi="仿宋" w:eastAsia="仿宋" w:cs="仿宋"/>
                <w:bCs/>
                <w:sz w:val="24"/>
                <w:szCs w:val="18"/>
                <w:highlight w:val="none"/>
              </w:rPr>
              <w:t>注：提供以上相关有效证书复印件和证明项目负责人在采购代理机构工作年限的社保证明材料复印件，并加盖公章（鲜章），否则不予给分。</w:t>
            </w:r>
          </w:p>
          <w:p w14:paraId="704406A4">
            <w:pPr>
              <w:keepNext w:val="0"/>
              <w:keepLines w:val="0"/>
              <w:pageBreakBefore w:val="0"/>
              <w:widowControl/>
              <w:kinsoku/>
              <w:wordWrap/>
              <w:overflowPunct/>
              <w:topLinePunct w:val="0"/>
              <w:autoSpaceDE/>
              <w:autoSpaceDN/>
              <w:bidi w:val="0"/>
              <w:adjustRightInd/>
              <w:snapToGrid/>
              <w:spacing w:line="440" w:lineRule="exact"/>
              <w:jc w:val="left"/>
              <w:textAlignment w:val="auto"/>
              <w:rPr>
                <w:rFonts w:ascii="仿宋" w:hAnsi="仿宋" w:eastAsia="仿宋" w:cs="仿宋"/>
                <w:bCs/>
                <w:sz w:val="24"/>
                <w:szCs w:val="18"/>
                <w:highlight w:val="none"/>
              </w:rPr>
            </w:pPr>
            <w:r>
              <w:rPr>
                <w:rFonts w:hint="eastAsia" w:ascii="仿宋" w:hAnsi="仿宋" w:eastAsia="仿宋" w:cs="仿宋"/>
                <w:bCs/>
                <w:sz w:val="24"/>
                <w:szCs w:val="18"/>
                <w:highlight w:val="none"/>
              </w:rPr>
              <w:t>2、对项目服务团队配置（项目负责人除外）进行评比（共</w:t>
            </w:r>
            <w:r>
              <w:rPr>
                <w:rFonts w:hint="eastAsia" w:ascii="仿宋" w:hAnsi="仿宋" w:eastAsia="仿宋" w:cs="仿宋"/>
                <w:bCs/>
                <w:sz w:val="24"/>
                <w:szCs w:val="18"/>
                <w:highlight w:val="none"/>
                <w:lang w:val="en-US" w:eastAsia="zh-CN"/>
              </w:rPr>
              <w:t>6</w:t>
            </w:r>
            <w:r>
              <w:rPr>
                <w:rFonts w:hint="eastAsia" w:ascii="仿宋" w:hAnsi="仿宋" w:eastAsia="仿宋" w:cs="仿宋"/>
                <w:bCs/>
                <w:sz w:val="24"/>
                <w:szCs w:val="18"/>
                <w:highlight w:val="none"/>
              </w:rPr>
              <w:t>分）：</w:t>
            </w:r>
          </w:p>
          <w:p w14:paraId="62F25C3A">
            <w:pPr>
              <w:keepNext w:val="0"/>
              <w:keepLines w:val="0"/>
              <w:pageBreakBefore w:val="0"/>
              <w:widowControl/>
              <w:kinsoku/>
              <w:wordWrap/>
              <w:overflowPunct/>
              <w:topLinePunct w:val="0"/>
              <w:autoSpaceDE/>
              <w:autoSpaceDN/>
              <w:bidi w:val="0"/>
              <w:adjustRightInd/>
              <w:snapToGrid/>
              <w:spacing w:line="440" w:lineRule="exact"/>
              <w:jc w:val="left"/>
              <w:textAlignment w:val="auto"/>
              <w:rPr>
                <w:rFonts w:ascii="仿宋" w:hAnsi="仿宋" w:eastAsia="仿宋" w:cs="仿宋"/>
                <w:bCs/>
                <w:sz w:val="24"/>
                <w:szCs w:val="18"/>
                <w:highlight w:val="none"/>
              </w:rPr>
            </w:pPr>
            <w:r>
              <w:rPr>
                <w:rFonts w:hint="eastAsia" w:ascii="仿宋" w:hAnsi="仿宋" w:eastAsia="仿宋" w:cs="仿宋"/>
                <w:bCs/>
                <w:sz w:val="24"/>
                <w:szCs w:val="18"/>
                <w:highlight w:val="none"/>
              </w:rPr>
              <w:t>2</w:t>
            </w:r>
            <w:r>
              <w:rPr>
                <w:rFonts w:ascii="仿宋" w:hAnsi="仿宋" w:eastAsia="仿宋" w:cs="仿宋"/>
                <w:bCs/>
                <w:sz w:val="24"/>
                <w:szCs w:val="18"/>
                <w:highlight w:val="none"/>
              </w:rPr>
              <w:t>.1</w:t>
            </w:r>
            <w:r>
              <w:rPr>
                <w:rFonts w:hint="eastAsia" w:ascii="仿宋" w:hAnsi="仿宋" w:eastAsia="仿宋" w:cs="仿宋"/>
                <w:bCs/>
                <w:sz w:val="24"/>
                <w:szCs w:val="18"/>
                <w:highlight w:val="none"/>
              </w:rPr>
              <w:t>项目服务团队中还配备有高级职称人员的得</w:t>
            </w:r>
            <w:r>
              <w:rPr>
                <w:rFonts w:ascii="仿宋" w:hAnsi="仿宋" w:eastAsia="仿宋" w:cs="仿宋"/>
                <w:bCs/>
                <w:sz w:val="24"/>
                <w:szCs w:val="18"/>
                <w:highlight w:val="none"/>
              </w:rPr>
              <w:t>2</w:t>
            </w:r>
            <w:r>
              <w:rPr>
                <w:rFonts w:hint="eastAsia" w:ascii="仿宋" w:hAnsi="仿宋" w:eastAsia="仿宋" w:cs="仿宋"/>
                <w:bCs/>
                <w:sz w:val="24"/>
                <w:szCs w:val="18"/>
                <w:highlight w:val="none"/>
              </w:rPr>
              <w:t>分；</w:t>
            </w:r>
          </w:p>
          <w:p w14:paraId="49615E63">
            <w:pPr>
              <w:keepNext w:val="0"/>
              <w:keepLines w:val="0"/>
              <w:pageBreakBefore w:val="0"/>
              <w:widowControl/>
              <w:kinsoku/>
              <w:wordWrap/>
              <w:overflowPunct/>
              <w:topLinePunct w:val="0"/>
              <w:autoSpaceDE/>
              <w:autoSpaceDN/>
              <w:bidi w:val="0"/>
              <w:adjustRightInd/>
              <w:snapToGrid/>
              <w:spacing w:line="440" w:lineRule="exact"/>
              <w:jc w:val="left"/>
              <w:textAlignment w:val="auto"/>
              <w:rPr>
                <w:rFonts w:ascii="仿宋" w:hAnsi="仿宋" w:eastAsia="仿宋" w:cs="仿宋"/>
                <w:bCs/>
                <w:sz w:val="24"/>
                <w:szCs w:val="18"/>
                <w:highlight w:val="none"/>
              </w:rPr>
            </w:pPr>
            <w:r>
              <w:rPr>
                <w:rFonts w:hint="eastAsia" w:ascii="仿宋" w:hAnsi="仿宋" w:eastAsia="仿宋" w:cs="仿宋"/>
                <w:bCs/>
                <w:sz w:val="24"/>
                <w:szCs w:val="18"/>
                <w:highlight w:val="none"/>
              </w:rPr>
              <w:t>2</w:t>
            </w:r>
            <w:r>
              <w:rPr>
                <w:rFonts w:ascii="仿宋" w:hAnsi="仿宋" w:eastAsia="仿宋" w:cs="仿宋"/>
                <w:bCs/>
                <w:sz w:val="24"/>
                <w:szCs w:val="18"/>
                <w:highlight w:val="none"/>
              </w:rPr>
              <w:t>.</w:t>
            </w:r>
            <w:r>
              <w:rPr>
                <w:rFonts w:hint="eastAsia" w:ascii="仿宋" w:hAnsi="仿宋" w:eastAsia="仿宋" w:cs="仿宋"/>
                <w:bCs/>
                <w:sz w:val="24"/>
                <w:szCs w:val="18"/>
                <w:highlight w:val="none"/>
                <w:lang w:val="en-US" w:eastAsia="zh-CN"/>
              </w:rPr>
              <w:t>2</w:t>
            </w:r>
            <w:r>
              <w:rPr>
                <w:rFonts w:hint="eastAsia" w:ascii="仿宋" w:hAnsi="仿宋" w:eastAsia="仿宋" w:cs="仿宋"/>
                <w:bCs/>
                <w:sz w:val="24"/>
                <w:szCs w:val="18"/>
                <w:highlight w:val="none"/>
              </w:rPr>
              <w:t>项目服务团队中配备有政府采购评审专家的得</w:t>
            </w:r>
            <w:r>
              <w:rPr>
                <w:rFonts w:ascii="仿宋" w:hAnsi="仿宋" w:eastAsia="仿宋" w:cs="仿宋"/>
                <w:bCs/>
                <w:sz w:val="24"/>
                <w:szCs w:val="18"/>
                <w:highlight w:val="none"/>
              </w:rPr>
              <w:t>2</w:t>
            </w:r>
            <w:r>
              <w:rPr>
                <w:rFonts w:hint="eastAsia" w:ascii="仿宋" w:hAnsi="仿宋" w:eastAsia="仿宋" w:cs="仿宋"/>
                <w:bCs/>
                <w:sz w:val="24"/>
                <w:szCs w:val="18"/>
                <w:highlight w:val="none"/>
              </w:rPr>
              <w:t>分；</w:t>
            </w:r>
          </w:p>
          <w:p w14:paraId="30BD2E57">
            <w:pPr>
              <w:keepNext w:val="0"/>
              <w:keepLines w:val="0"/>
              <w:pageBreakBefore w:val="0"/>
              <w:widowControl/>
              <w:kinsoku/>
              <w:wordWrap/>
              <w:overflowPunct/>
              <w:topLinePunct w:val="0"/>
              <w:autoSpaceDE/>
              <w:autoSpaceDN/>
              <w:bidi w:val="0"/>
              <w:adjustRightInd/>
              <w:snapToGrid/>
              <w:spacing w:line="440" w:lineRule="exact"/>
              <w:jc w:val="left"/>
              <w:textAlignment w:val="auto"/>
              <w:rPr>
                <w:rFonts w:ascii="仿宋" w:hAnsi="仿宋" w:eastAsia="仿宋" w:cs="仿宋"/>
                <w:bCs/>
                <w:sz w:val="24"/>
                <w:szCs w:val="18"/>
                <w:highlight w:val="none"/>
              </w:rPr>
            </w:pPr>
            <w:r>
              <w:rPr>
                <w:rFonts w:hint="eastAsia" w:ascii="仿宋" w:hAnsi="仿宋" w:eastAsia="仿宋" w:cs="仿宋"/>
                <w:bCs/>
                <w:sz w:val="24"/>
                <w:szCs w:val="18"/>
                <w:highlight w:val="none"/>
              </w:rPr>
              <w:t>2</w:t>
            </w:r>
            <w:r>
              <w:rPr>
                <w:rFonts w:ascii="仿宋" w:hAnsi="仿宋" w:eastAsia="仿宋" w:cs="仿宋"/>
                <w:bCs/>
                <w:sz w:val="24"/>
                <w:szCs w:val="18"/>
                <w:highlight w:val="none"/>
              </w:rPr>
              <w:t>.</w:t>
            </w:r>
            <w:r>
              <w:rPr>
                <w:rFonts w:hint="eastAsia" w:ascii="仿宋" w:hAnsi="仿宋" w:eastAsia="仿宋" w:cs="仿宋"/>
                <w:bCs/>
                <w:sz w:val="24"/>
                <w:szCs w:val="18"/>
                <w:highlight w:val="none"/>
                <w:lang w:val="en-US" w:eastAsia="zh-CN"/>
              </w:rPr>
              <w:t>3</w:t>
            </w:r>
            <w:r>
              <w:rPr>
                <w:rFonts w:hint="eastAsia" w:ascii="仿宋" w:hAnsi="仿宋" w:eastAsia="仿宋" w:cs="仿宋"/>
                <w:bCs/>
                <w:sz w:val="24"/>
                <w:szCs w:val="18"/>
                <w:highlight w:val="none"/>
              </w:rPr>
              <w:t>项目服务团队中配备有法务人员（具备律师资格证）的得</w:t>
            </w:r>
            <w:r>
              <w:rPr>
                <w:rFonts w:ascii="仿宋" w:hAnsi="仿宋" w:eastAsia="仿宋" w:cs="仿宋"/>
                <w:bCs/>
                <w:sz w:val="24"/>
                <w:szCs w:val="18"/>
                <w:highlight w:val="none"/>
              </w:rPr>
              <w:t>2</w:t>
            </w:r>
            <w:r>
              <w:rPr>
                <w:rFonts w:hint="eastAsia" w:ascii="仿宋" w:hAnsi="仿宋" w:eastAsia="仿宋" w:cs="仿宋"/>
                <w:bCs/>
                <w:sz w:val="24"/>
                <w:szCs w:val="18"/>
                <w:highlight w:val="none"/>
              </w:rPr>
              <w:t>分。</w:t>
            </w:r>
          </w:p>
          <w:p w14:paraId="78E3F3A8">
            <w:pPr>
              <w:keepNext w:val="0"/>
              <w:keepLines w:val="0"/>
              <w:pageBreakBefore w:val="0"/>
              <w:widowControl/>
              <w:kinsoku/>
              <w:wordWrap/>
              <w:overflowPunct/>
              <w:topLinePunct w:val="0"/>
              <w:autoSpaceDE/>
              <w:autoSpaceDN/>
              <w:bidi w:val="0"/>
              <w:adjustRightInd/>
              <w:snapToGrid/>
              <w:spacing w:line="440" w:lineRule="exact"/>
              <w:jc w:val="left"/>
              <w:textAlignment w:val="auto"/>
              <w:rPr>
                <w:rFonts w:ascii="仿宋" w:hAnsi="仿宋" w:eastAsia="仿宋" w:cs="仿宋"/>
                <w:bCs/>
                <w:sz w:val="24"/>
                <w:szCs w:val="18"/>
                <w:highlight w:val="none"/>
              </w:rPr>
            </w:pPr>
            <w:r>
              <w:rPr>
                <w:rFonts w:hint="eastAsia" w:ascii="仿宋" w:hAnsi="仿宋" w:eastAsia="仿宋" w:cs="仿宋"/>
                <w:bCs/>
                <w:sz w:val="24"/>
                <w:szCs w:val="18"/>
                <w:highlight w:val="none"/>
              </w:rPr>
              <w:t>注：①提供以上相关有效证书复印件和比选申请截止时间前连续</w:t>
            </w:r>
            <w:r>
              <w:rPr>
                <w:rFonts w:hint="eastAsia" w:ascii="仿宋" w:hAnsi="仿宋" w:eastAsia="仿宋" w:cs="仿宋"/>
                <w:bCs/>
                <w:sz w:val="24"/>
                <w:szCs w:val="18"/>
                <w:highlight w:val="none"/>
                <w:lang w:val="en-US" w:eastAsia="zh-CN"/>
              </w:rPr>
              <w:t>三</w:t>
            </w:r>
            <w:r>
              <w:rPr>
                <w:rFonts w:hint="eastAsia" w:ascii="仿宋" w:hAnsi="仿宋" w:eastAsia="仿宋" w:cs="仿宋"/>
                <w:bCs/>
                <w:sz w:val="24"/>
                <w:szCs w:val="18"/>
                <w:highlight w:val="none"/>
              </w:rPr>
              <w:t>个月的社保证明材料复印件，并加盖公章（鲜章），否则不予给分。</w:t>
            </w:r>
          </w:p>
          <w:p w14:paraId="5C043D6D">
            <w:pPr>
              <w:keepNext w:val="0"/>
              <w:keepLines w:val="0"/>
              <w:pageBreakBefore w:val="0"/>
              <w:widowControl/>
              <w:kinsoku/>
              <w:wordWrap/>
              <w:overflowPunct/>
              <w:topLinePunct w:val="0"/>
              <w:autoSpaceDE/>
              <w:autoSpaceDN/>
              <w:bidi w:val="0"/>
              <w:adjustRightInd/>
              <w:snapToGrid/>
              <w:spacing w:line="440" w:lineRule="exact"/>
              <w:ind w:firstLine="480" w:firstLineChars="200"/>
              <w:jc w:val="left"/>
              <w:textAlignment w:val="auto"/>
              <w:rPr>
                <w:rFonts w:ascii="仿宋" w:hAnsi="仿宋" w:eastAsia="仿宋" w:cs="仿宋"/>
                <w:bCs/>
                <w:sz w:val="24"/>
                <w:szCs w:val="18"/>
                <w:highlight w:val="none"/>
              </w:rPr>
            </w:pPr>
            <w:r>
              <w:rPr>
                <w:rFonts w:hint="eastAsia" w:ascii="仿宋" w:hAnsi="仿宋" w:eastAsia="仿宋" w:cs="仿宋"/>
                <w:bCs/>
                <w:sz w:val="24"/>
                <w:szCs w:val="18"/>
                <w:highlight w:val="none"/>
              </w:rPr>
              <w:t>②针对以上评分项，同一人员不能重复得分。</w:t>
            </w:r>
          </w:p>
        </w:tc>
      </w:tr>
      <w:tr w14:paraId="19BBF5E2">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547" w:hRule="atLeast"/>
        </w:trPr>
        <w:tc>
          <w:tcPr>
            <w:tcW w:w="417" w:type="pct"/>
            <w:tcBorders>
              <w:top w:val="single" w:color="auto" w:sz="4" w:space="0"/>
              <w:left w:val="single" w:color="auto" w:sz="8" w:space="0"/>
              <w:bottom w:val="single" w:color="auto" w:sz="4" w:space="0"/>
              <w:right w:val="single" w:color="auto" w:sz="8" w:space="0"/>
            </w:tcBorders>
            <w:vAlign w:val="center"/>
          </w:tcPr>
          <w:p w14:paraId="7197167C">
            <w:pPr>
              <w:keepNext w:val="0"/>
              <w:keepLines w:val="0"/>
              <w:pageBreakBefore w:val="0"/>
              <w:kinsoku/>
              <w:wordWrap/>
              <w:overflowPunct/>
              <w:topLinePunct w:val="0"/>
              <w:autoSpaceDE/>
              <w:autoSpaceDN/>
              <w:bidi w:val="0"/>
              <w:adjustRightInd/>
              <w:snapToGrid/>
              <w:spacing w:line="440" w:lineRule="exact"/>
              <w:jc w:val="left"/>
              <w:textAlignment w:val="auto"/>
              <w:rPr>
                <w:rFonts w:ascii="仿宋" w:hAnsi="仿宋" w:eastAsia="仿宋" w:cs="仿宋"/>
                <w:bCs/>
                <w:sz w:val="24"/>
                <w:szCs w:val="18"/>
                <w:highlight w:val="none"/>
              </w:rPr>
            </w:pPr>
            <w:r>
              <w:rPr>
                <w:rFonts w:hint="eastAsia" w:ascii="仿宋" w:hAnsi="仿宋" w:eastAsia="仿宋" w:cs="仿宋"/>
                <w:bCs/>
                <w:sz w:val="24"/>
                <w:szCs w:val="18"/>
                <w:highlight w:val="none"/>
              </w:rPr>
              <w:t>六</w:t>
            </w:r>
          </w:p>
        </w:tc>
        <w:tc>
          <w:tcPr>
            <w:tcW w:w="715" w:type="pct"/>
            <w:tcBorders>
              <w:top w:val="single" w:color="auto" w:sz="8" w:space="0"/>
              <w:left w:val="single" w:color="auto" w:sz="4" w:space="0"/>
              <w:bottom w:val="single" w:color="auto" w:sz="8" w:space="0"/>
              <w:right w:val="single" w:color="auto" w:sz="8" w:space="0"/>
            </w:tcBorders>
            <w:vAlign w:val="center"/>
          </w:tcPr>
          <w:p w14:paraId="5567AFCD">
            <w:pPr>
              <w:keepNext w:val="0"/>
              <w:keepLines w:val="0"/>
              <w:pageBreakBefore w:val="0"/>
              <w:widowControl/>
              <w:kinsoku/>
              <w:wordWrap/>
              <w:overflowPunct/>
              <w:topLinePunct w:val="0"/>
              <w:autoSpaceDE/>
              <w:autoSpaceDN/>
              <w:bidi w:val="0"/>
              <w:adjustRightInd/>
              <w:snapToGrid/>
              <w:spacing w:line="440" w:lineRule="exact"/>
              <w:jc w:val="left"/>
              <w:textAlignment w:val="auto"/>
              <w:rPr>
                <w:rFonts w:ascii="仿宋" w:hAnsi="仿宋" w:eastAsia="仿宋" w:cs="仿宋"/>
                <w:bCs/>
                <w:sz w:val="24"/>
                <w:szCs w:val="18"/>
                <w:highlight w:val="none"/>
              </w:rPr>
            </w:pPr>
            <w:r>
              <w:rPr>
                <w:rFonts w:hint="eastAsia" w:ascii="仿宋" w:hAnsi="仿宋" w:eastAsia="仿宋" w:cs="仿宋"/>
                <w:bCs/>
                <w:sz w:val="24"/>
                <w:szCs w:val="18"/>
                <w:highlight w:val="none"/>
              </w:rPr>
              <w:t>代理服务方案</w:t>
            </w:r>
            <w:r>
              <w:rPr>
                <w:rFonts w:hint="eastAsia" w:ascii="仿宋" w:hAnsi="仿宋" w:eastAsia="仿宋" w:cs="仿宋"/>
                <w:bCs/>
                <w:sz w:val="24"/>
                <w:szCs w:val="18"/>
                <w:highlight w:val="none"/>
                <w:lang w:val="en-US" w:eastAsia="zh-CN"/>
              </w:rPr>
              <w:t xml:space="preserve"> </w:t>
            </w:r>
            <w:r>
              <w:rPr>
                <w:rFonts w:hint="eastAsia" w:ascii="仿宋" w:hAnsi="仿宋" w:eastAsia="仿宋" w:cs="仿宋"/>
                <w:bCs/>
                <w:sz w:val="24"/>
                <w:szCs w:val="18"/>
                <w:highlight w:val="none"/>
              </w:rPr>
              <w:t>（</w:t>
            </w:r>
            <w:r>
              <w:rPr>
                <w:rFonts w:hint="eastAsia" w:ascii="仿宋" w:hAnsi="仿宋" w:eastAsia="仿宋" w:cs="仿宋"/>
                <w:bCs/>
                <w:sz w:val="24"/>
                <w:szCs w:val="18"/>
                <w:highlight w:val="none"/>
                <w:lang w:val="en-US" w:eastAsia="zh-CN"/>
              </w:rPr>
              <w:t>25</w:t>
            </w:r>
            <w:r>
              <w:rPr>
                <w:rFonts w:hint="eastAsia" w:ascii="仿宋" w:hAnsi="仿宋" w:eastAsia="仿宋" w:cs="仿宋"/>
                <w:bCs/>
                <w:sz w:val="24"/>
                <w:szCs w:val="18"/>
                <w:highlight w:val="none"/>
              </w:rPr>
              <w:t>分）</w:t>
            </w:r>
          </w:p>
        </w:tc>
        <w:tc>
          <w:tcPr>
            <w:tcW w:w="3867" w:type="pct"/>
            <w:tcBorders>
              <w:top w:val="single" w:color="auto" w:sz="8" w:space="0"/>
              <w:left w:val="single" w:color="auto" w:sz="8" w:space="0"/>
              <w:bottom w:val="single" w:color="auto" w:sz="8" w:space="0"/>
              <w:right w:val="single" w:color="auto" w:sz="8" w:space="0"/>
            </w:tcBorders>
          </w:tcPr>
          <w:p w14:paraId="385E445B">
            <w:pPr>
              <w:keepNext w:val="0"/>
              <w:keepLines w:val="0"/>
              <w:pageBreakBefore w:val="0"/>
              <w:widowControl/>
              <w:kinsoku/>
              <w:wordWrap/>
              <w:overflowPunct/>
              <w:topLinePunct w:val="0"/>
              <w:autoSpaceDE/>
              <w:autoSpaceDN/>
              <w:bidi w:val="0"/>
              <w:adjustRightInd/>
              <w:snapToGrid/>
              <w:spacing w:line="440" w:lineRule="exact"/>
              <w:jc w:val="left"/>
              <w:textAlignment w:val="auto"/>
              <w:rPr>
                <w:rFonts w:hint="eastAsia" w:ascii="仿宋" w:hAnsi="仿宋" w:eastAsia="仿宋" w:cs="仿宋"/>
                <w:bCs/>
                <w:sz w:val="24"/>
                <w:szCs w:val="18"/>
                <w:highlight w:val="none"/>
              </w:rPr>
            </w:pPr>
            <w:r>
              <w:rPr>
                <w:rFonts w:hint="eastAsia" w:ascii="仿宋" w:hAnsi="仿宋" w:eastAsia="仿宋" w:cs="仿宋"/>
                <w:bCs/>
                <w:sz w:val="24"/>
                <w:szCs w:val="18"/>
                <w:highlight w:val="none"/>
                <w:lang w:val="en-US" w:eastAsia="zh-CN"/>
              </w:rPr>
              <w:t>1、</w:t>
            </w:r>
            <w:r>
              <w:rPr>
                <w:rFonts w:hint="eastAsia" w:ascii="仿宋" w:hAnsi="仿宋" w:eastAsia="仿宋" w:cs="仿宋"/>
                <w:bCs/>
                <w:sz w:val="24"/>
                <w:szCs w:val="18"/>
                <w:highlight w:val="none"/>
              </w:rPr>
              <w:t>对</w:t>
            </w:r>
            <w:r>
              <w:rPr>
                <w:rFonts w:hint="eastAsia" w:ascii="仿宋" w:hAnsi="仿宋" w:eastAsia="仿宋" w:cs="仿宋"/>
                <w:bCs/>
                <w:sz w:val="24"/>
                <w:szCs w:val="18"/>
                <w:highlight w:val="none"/>
                <w:lang w:eastAsia="zh-CN"/>
              </w:rPr>
              <w:t>投标人</w:t>
            </w:r>
            <w:r>
              <w:rPr>
                <w:rFonts w:hint="eastAsia" w:ascii="仿宋" w:hAnsi="仿宋" w:eastAsia="仿宋" w:cs="仿宋"/>
                <w:bCs/>
                <w:sz w:val="24"/>
                <w:szCs w:val="18"/>
                <w:highlight w:val="none"/>
              </w:rPr>
              <w:t>的质量管理体系在规范性、完整性和全面性进行综合评比：优得</w:t>
            </w:r>
            <w:r>
              <w:rPr>
                <w:rFonts w:hint="eastAsia" w:ascii="仿宋" w:hAnsi="仿宋" w:eastAsia="仿宋" w:cs="仿宋"/>
                <w:bCs/>
                <w:sz w:val="24"/>
                <w:szCs w:val="18"/>
                <w:highlight w:val="none"/>
                <w:lang w:val="en-US" w:eastAsia="zh-CN"/>
              </w:rPr>
              <w:t>12</w:t>
            </w:r>
            <w:r>
              <w:rPr>
                <w:rFonts w:hint="eastAsia" w:ascii="仿宋" w:hAnsi="仿宋" w:eastAsia="仿宋" w:cs="仿宋"/>
                <w:bCs/>
                <w:sz w:val="24"/>
                <w:szCs w:val="18"/>
                <w:highlight w:val="none"/>
              </w:rPr>
              <w:t>分，良</w:t>
            </w:r>
            <w:r>
              <w:rPr>
                <w:rFonts w:hint="eastAsia" w:ascii="仿宋" w:hAnsi="仿宋" w:eastAsia="仿宋" w:cs="仿宋"/>
                <w:bCs/>
                <w:sz w:val="24"/>
                <w:szCs w:val="18"/>
                <w:highlight w:val="none"/>
                <w:lang w:val="en-US" w:eastAsia="zh-CN"/>
              </w:rPr>
              <w:t>10</w:t>
            </w:r>
            <w:r>
              <w:rPr>
                <w:rFonts w:hint="eastAsia" w:ascii="仿宋" w:hAnsi="仿宋" w:eastAsia="仿宋" w:cs="仿宋"/>
                <w:bCs/>
                <w:sz w:val="24"/>
                <w:szCs w:val="18"/>
                <w:highlight w:val="none"/>
              </w:rPr>
              <w:t>分，一般</w:t>
            </w:r>
            <w:r>
              <w:rPr>
                <w:rFonts w:hint="eastAsia" w:ascii="仿宋" w:hAnsi="仿宋" w:eastAsia="仿宋" w:cs="仿宋"/>
                <w:bCs/>
                <w:sz w:val="24"/>
                <w:szCs w:val="18"/>
                <w:highlight w:val="none"/>
                <w:lang w:val="en-US" w:eastAsia="zh-CN"/>
              </w:rPr>
              <w:t>8</w:t>
            </w:r>
            <w:r>
              <w:rPr>
                <w:rFonts w:hint="eastAsia" w:ascii="仿宋" w:hAnsi="仿宋" w:eastAsia="仿宋" w:cs="仿宋"/>
                <w:bCs/>
                <w:sz w:val="24"/>
                <w:szCs w:val="18"/>
                <w:highlight w:val="none"/>
              </w:rPr>
              <w:t>分，没有方案不得分。</w:t>
            </w:r>
          </w:p>
          <w:p w14:paraId="46B2FBE4">
            <w:pPr>
              <w:keepNext w:val="0"/>
              <w:keepLines w:val="0"/>
              <w:pageBreakBefore w:val="0"/>
              <w:widowControl/>
              <w:kinsoku/>
              <w:wordWrap/>
              <w:overflowPunct/>
              <w:topLinePunct w:val="0"/>
              <w:autoSpaceDE/>
              <w:autoSpaceDN/>
              <w:bidi w:val="0"/>
              <w:adjustRightInd/>
              <w:snapToGrid/>
              <w:spacing w:line="440" w:lineRule="exact"/>
              <w:jc w:val="left"/>
              <w:textAlignment w:val="auto"/>
              <w:rPr>
                <w:rFonts w:hint="eastAsia" w:ascii="仿宋" w:hAnsi="仿宋" w:eastAsia="仿宋" w:cs="仿宋"/>
                <w:bCs/>
                <w:sz w:val="24"/>
                <w:szCs w:val="18"/>
                <w:highlight w:val="none"/>
                <w:lang w:val="en-US" w:eastAsia="zh-CN"/>
              </w:rPr>
            </w:pPr>
            <w:r>
              <w:rPr>
                <w:rFonts w:hint="eastAsia" w:ascii="仿宋" w:hAnsi="仿宋" w:eastAsia="仿宋" w:cs="仿宋"/>
                <w:bCs/>
                <w:sz w:val="24"/>
                <w:szCs w:val="18"/>
                <w:highlight w:val="none"/>
                <w:lang w:val="en-US" w:eastAsia="zh-CN"/>
              </w:rPr>
              <w:t>2、</w:t>
            </w:r>
            <w:r>
              <w:rPr>
                <w:rFonts w:hint="eastAsia" w:ascii="仿宋" w:hAnsi="仿宋" w:eastAsia="仿宋" w:cs="仿宋"/>
                <w:bCs/>
                <w:sz w:val="24"/>
                <w:szCs w:val="18"/>
                <w:highlight w:val="none"/>
              </w:rPr>
              <w:t>本项目的代理服务方案在代理操作服务流程的规范性和完整性、招标采购方式的多样性、项目流程的全面性和规范性、服务承诺的可行性和廉洁性、后期资料整理的及时性等方面进行综合评比：优得</w:t>
            </w:r>
            <w:r>
              <w:rPr>
                <w:rFonts w:hint="eastAsia" w:ascii="仿宋" w:hAnsi="仿宋" w:eastAsia="仿宋" w:cs="仿宋"/>
                <w:bCs/>
                <w:sz w:val="24"/>
                <w:szCs w:val="18"/>
                <w:highlight w:val="none"/>
                <w:lang w:val="en-US" w:eastAsia="zh-CN"/>
              </w:rPr>
              <w:t>13</w:t>
            </w:r>
            <w:r>
              <w:rPr>
                <w:rFonts w:hint="eastAsia" w:ascii="仿宋" w:hAnsi="仿宋" w:eastAsia="仿宋" w:cs="仿宋"/>
                <w:bCs/>
                <w:sz w:val="24"/>
                <w:szCs w:val="18"/>
                <w:highlight w:val="none"/>
              </w:rPr>
              <w:t>分，良</w:t>
            </w:r>
            <w:r>
              <w:rPr>
                <w:rFonts w:hint="eastAsia" w:ascii="仿宋" w:hAnsi="仿宋" w:eastAsia="仿宋" w:cs="仿宋"/>
                <w:bCs/>
                <w:sz w:val="24"/>
                <w:szCs w:val="18"/>
                <w:highlight w:val="none"/>
                <w:lang w:val="en-US" w:eastAsia="zh-CN"/>
              </w:rPr>
              <w:t>10</w:t>
            </w:r>
            <w:r>
              <w:rPr>
                <w:rFonts w:hint="eastAsia" w:ascii="仿宋" w:hAnsi="仿宋" w:eastAsia="仿宋" w:cs="仿宋"/>
                <w:bCs/>
                <w:sz w:val="24"/>
                <w:szCs w:val="18"/>
                <w:highlight w:val="none"/>
              </w:rPr>
              <w:t>分，一般</w:t>
            </w:r>
            <w:r>
              <w:rPr>
                <w:rFonts w:hint="eastAsia" w:ascii="仿宋" w:hAnsi="仿宋" w:eastAsia="仿宋" w:cs="仿宋"/>
                <w:bCs/>
                <w:sz w:val="24"/>
                <w:szCs w:val="18"/>
                <w:highlight w:val="none"/>
                <w:lang w:val="en-US" w:eastAsia="zh-CN"/>
              </w:rPr>
              <w:t>7</w:t>
            </w:r>
            <w:r>
              <w:rPr>
                <w:rFonts w:hint="eastAsia" w:ascii="仿宋" w:hAnsi="仿宋" w:eastAsia="仿宋" w:cs="仿宋"/>
                <w:bCs/>
                <w:sz w:val="24"/>
                <w:szCs w:val="18"/>
                <w:highlight w:val="none"/>
              </w:rPr>
              <w:t>分，没有方案不得分。</w:t>
            </w:r>
          </w:p>
        </w:tc>
      </w:tr>
      <w:tr w14:paraId="18EA2BFF">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547" w:hRule="atLeast"/>
        </w:trPr>
        <w:tc>
          <w:tcPr>
            <w:tcW w:w="417" w:type="pct"/>
            <w:tcBorders>
              <w:top w:val="single" w:color="auto" w:sz="4" w:space="0"/>
              <w:left w:val="single" w:color="auto" w:sz="8" w:space="0"/>
              <w:bottom w:val="single" w:color="auto" w:sz="4" w:space="0"/>
              <w:right w:val="single" w:color="auto" w:sz="8" w:space="0"/>
            </w:tcBorders>
            <w:vAlign w:val="center"/>
          </w:tcPr>
          <w:p w14:paraId="1FA1AB18">
            <w:pPr>
              <w:keepNext w:val="0"/>
              <w:keepLines w:val="0"/>
              <w:pageBreakBefore w:val="0"/>
              <w:widowControl/>
              <w:kinsoku/>
              <w:wordWrap/>
              <w:overflowPunct/>
              <w:topLinePunct w:val="0"/>
              <w:autoSpaceDE/>
              <w:autoSpaceDN/>
              <w:bidi w:val="0"/>
              <w:adjustRightInd/>
              <w:snapToGrid/>
              <w:spacing w:line="440" w:lineRule="exact"/>
              <w:jc w:val="left"/>
              <w:textAlignment w:val="auto"/>
              <w:rPr>
                <w:rFonts w:ascii="仿宋" w:hAnsi="仿宋" w:eastAsia="仿宋" w:cs="仿宋"/>
                <w:bCs/>
                <w:sz w:val="24"/>
                <w:szCs w:val="18"/>
                <w:highlight w:val="none"/>
              </w:rPr>
            </w:pPr>
            <w:r>
              <w:rPr>
                <w:rFonts w:hint="eastAsia" w:ascii="仿宋" w:hAnsi="仿宋" w:eastAsia="仿宋" w:cs="仿宋"/>
                <w:bCs/>
                <w:sz w:val="24"/>
                <w:szCs w:val="18"/>
                <w:highlight w:val="none"/>
              </w:rPr>
              <w:t>七</w:t>
            </w:r>
          </w:p>
        </w:tc>
        <w:tc>
          <w:tcPr>
            <w:tcW w:w="715" w:type="pct"/>
            <w:tcBorders>
              <w:top w:val="single" w:color="auto" w:sz="8" w:space="0"/>
              <w:left w:val="single" w:color="auto" w:sz="4" w:space="0"/>
              <w:bottom w:val="single" w:color="auto" w:sz="8" w:space="0"/>
              <w:right w:val="single" w:color="auto" w:sz="8" w:space="0"/>
            </w:tcBorders>
            <w:vAlign w:val="center"/>
          </w:tcPr>
          <w:p w14:paraId="0B6D17D0">
            <w:pPr>
              <w:keepNext w:val="0"/>
              <w:keepLines w:val="0"/>
              <w:pageBreakBefore w:val="0"/>
              <w:widowControl/>
              <w:kinsoku/>
              <w:wordWrap/>
              <w:overflowPunct/>
              <w:topLinePunct w:val="0"/>
              <w:autoSpaceDE/>
              <w:autoSpaceDN/>
              <w:bidi w:val="0"/>
              <w:adjustRightInd/>
              <w:snapToGrid/>
              <w:spacing w:line="440" w:lineRule="exact"/>
              <w:jc w:val="left"/>
              <w:textAlignment w:val="auto"/>
              <w:rPr>
                <w:rFonts w:ascii="仿宋" w:hAnsi="仿宋" w:eastAsia="仿宋" w:cs="仿宋"/>
                <w:bCs/>
                <w:sz w:val="24"/>
                <w:szCs w:val="18"/>
                <w:highlight w:val="none"/>
              </w:rPr>
            </w:pPr>
            <w:r>
              <w:rPr>
                <w:rFonts w:hint="eastAsia" w:ascii="仿宋" w:hAnsi="仿宋" w:eastAsia="仿宋" w:cs="仿宋"/>
                <w:bCs/>
                <w:sz w:val="24"/>
                <w:szCs w:val="18"/>
                <w:highlight w:val="none"/>
              </w:rPr>
              <w:t>报价</w:t>
            </w:r>
          </w:p>
          <w:p w14:paraId="7749D5FC">
            <w:pPr>
              <w:keepNext w:val="0"/>
              <w:keepLines w:val="0"/>
              <w:pageBreakBefore w:val="0"/>
              <w:widowControl/>
              <w:kinsoku/>
              <w:wordWrap/>
              <w:overflowPunct/>
              <w:topLinePunct w:val="0"/>
              <w:autoSpaceDE/>
              <w:autoSpaceDN/>
              <w:bidi w:val="0"/>
              <w:adjustRightInd/>
              <w:snapToGrid/>
              <w:spacing w:line="440" w:lineRule="exact"/>
              <w:jc w:val="left"/>
              <w:textAlignment w:val="auto"/>
              <w:rPr>
                <w:rFonts w:ascii="仿宋" w:hAnsi="仿宋" w:eastAsia="仿宋" w:cs="仿宋"/>
                <w:bCs/>
                <w:sz w:val="24"/>
                <w:szCs w:val="18"/>
                <w:highlight w:val="none"/>
              </w:rPr>
            </w:pPr>
            <w:r>
              <w:rPr>
                <w:rFonts w:hint="eastAsia" w:ascii="仿宋" w:hAnsi="仿宋" w:eastAsia="仿宋" w:cs="仿宋"/>
                <w:bCs/>
                <w:sz w:val="24"/>
                <w:szCs w:val="18"/>
                <w:highlight w:val="none"/>
              </w:rPr>
              <w:t>（</w:t>
            </w:r>
            <w:r>
              <w:rPr>
                <w:rFonts w:ascii="仿宋" w:hAnsi="仿宋" w:eastAsia="仿宋" w:cs="仿宋"/>
                <w:bCs/>
                <w:sz w:val="24"/>
                <w:szCs w:val="18"/>
                <w:highlight w:val="none"/>
              </w:rPr>
              <w:t>2</w:t>
            </w:r>
            <w:r>
              <w:rPr>
                <w:rFonts w:hint="eastAsia" w:ascii="仿宋" w:hAnsi="仿宋" w:eastAsia="仿宋" w:cs="仿宋"/>
                <w:bCs/>
                <w:sz w:val="24"/>
                <w:szCs w:val="18"/>
                <w:highlight w:val="none"/>
              </w:rPr>
              <w:t>0分）</w:t>
            </w:r>
          </w:p>
        </w:tc>
        <w:tc>
          <w:tcPr>
            <w:tcW w:w="3867" w:type="pct"/>
            <w:tcBorders>
              <w:top w:val="single" w:color="auto" w:sz="8" w:space="0"/>
              <w:left w:val="single" w:color="auto" w:sz="8" w:space="0"/>
              <w:bottom w:val="single" w:color="auto" w:sz="8" w:space="0"/>
              <w:right w:val="single" w:color="auto" w:sz="8" w:space="0"/>
            </w:tcBorders>
          </w:tcPr>
          <w:p w14:paraId="248452D2">
            <w:pPr>
              <w:keepNext w:val="0"/>
              <w:keepLines w:val="0"/>
              <w:pageBreakBefore w:val="0"/>
              <w:widowControl/>
              <w:kinsoku/>
              <w:wordWrap/>
              <w:overflowPunct/>
              <w:topLinePunct w:val="0"/>
              <w:autoSpaceDE/>
              <w:autoSpaceDN/>
              <w:bidi w:val="0"/>
              <w:adjustRightInd/>
              <w:snapToGrid/>
              <w:spacing w:line="440" w:lineRule="exact"/>
              <w:jc w:val="left"/>
              <w:textAlignment w:val="auto"/>
              <w:rPr>
                <w:rFonts w:ascii="仿宋" w:hAnsi="仿宋" w:eastAsia="仿宋" w:cs="仿宋"/>
                <w:bCs/>
                <w:sz w:val="24"/>
                <w:szCs w:val="18"/>
                <w:highlight w:val="none"/>
              </w:rPr>
            </w:pPr>
            <w:r>
              <w:rPr>
                <w:rFonts w:hint="eastAsia" w:ascii="仿宋" w:hAnsi="仿宋" w:eastAsia="仿宋" w:cs="仿宋"/>
                <w:bCs/>
                <w:sz w:val="24"/>
                <w:szCs w:val="18"/>
                <w:highlight w:val="none"/>
              </w:rPr>
              <w:t>参照国家计委印发的《招标代理服务收费管理暂行办法》（计价格[2002]1980号）和《国家发展改革委办公厅关于招标代理服务收费有关问题的通知》（发改办价格[2003]857号）规定的收费标准，每下浮1%得</w:t>
            </w:r>
            <w:r>
              <w:rPr>
                <w:rFonts w:ascii="仿宋" w:hAnsi="仿宋" w:eastAsia="仿宋" w:cs="仿宋"/>
                <w:bCs/>
                <w:sz w:val="24"/>
                <w:szCs w:val="18"/>
                <w:highlight w:val="none"/>
              </w:rPr>
              <w:t>2</w:t>
            </w:r>
            <w:r>
              <w:rPr>
                <w:rFonts w:hint="eastAsia" w:ascii="仿宋" w:hAnsi="仿宋" w:eastAsia="仿宋" w:cs="仿宋"/>
                <w:bCs/>
                <w:sz w:val="24"/>
                <w:szCs w:val="18"/>
                <w:highlight w:val="none"/>
              </w:rPr>
              <w:t>分，最多得</w:t>
            </w:r>
            <w:r>
              <w:rPr>
                <w:rFonts w:ascii="仿宋" w:hAnsi="仿宋" w:eastAsia="仿宋" w:cs="仿宋"/>
                <w:bCs/>
                <w:sz w:val="24"/>
                <w:szCs w:val="18"/>
                <w:highlight w:val="none"/>
              </w:rPr>
              <w:t>20</w:t>
            </w:r>
            <w:r>
              <w:rPr>
                <w:rFonts w:hint="eastAsia" w:ascii="仿宋" w:hAnsi="仿宋" w:eastAsia="仿宋" w:cs="仿宋"/>
                <w:bCs/>
                <w:sz w:val="24"/>
                <w:szCs w:val="18"/>
                <w:highlight w:val="none"/>
              </w:rPr>
              <w:t>分。</w:t>
            </w:r>
          </w:p>
          <w:p w14:paraId="341A3218">
            <w:pPr>
              <w:keepNext w:val="0"/>
              <w:keepLines w:val="0"/>
              <w:pageBreakBefore w:val="0"/>
              <w:widowControl/>
              <w:kinsoku/>
              <w:wordWrap/>
              <w:overflowPunct/>
              <w:topLinePunct w:val="0"/>
              <w:autoSpaceDE/>
              <w:autoSpaceDN/>
              <w:bidi w:val="0"/>
              <w:adjustRightInd/>
              <w:snapToGrid/>
              <w:spacing w:line="440" w:lineRule="exact"/>
              <w:jc w:val="left"/>
              <w:textAlignment w:val="auto"/>
              <w:rPr>
                <w:rFonts w:ascii="仿宋" w:hAnsi="仿宋" w:eastAsia="仿宋" w:cs="仿宋"/>
                <w:bCs/>
                <w:sz w:val="24"/>
                <w:szCs w:val="18"/>
                <w:highlight w:val="none"/>
              </w:rPr>
            </w:pPr>
            <w:r>
              <w:rPr>
                <w:rFonts w:hint="eastAsia" w:ascii="仿宋" w:hAnsi="仿宋" w:eastAsia="仿宋" w:cs="仿宋"/>
                <w:bCs/>
                <w:sz w:val="24"/>
                <w:szCs w:val="18"/>
                <w:highlight w:val="none"/>
              </w:rPr>
              <w:t>注：具体报价详见第</w:t>
            </w:r>
            <w:r>
              <w:rPr>
                <w:rFonts w:hint="eastAsia" w:ascii="仿宋" w:hAnsi="仿宋" w:eastAsia="仿宋" w:cs="仿宋"/>
                <w:bCs/>
                <w:sz w:val="24"/>
                <w:szCs w:val="18"/>
                <w:highlight w:val="none"/>
                <w:lang w:val="en-US" w:eastAsia="zh-CN"/>
              </w:rPr>
              <w:t>四</w:t>
            </w:r>
            <w:r>
              <w:rPr>
                <w:rFonts w:hint="eastAsia" w:ascii="仿宋" w:hAnsi="仿宋" w:eastAsia="仿宋" w:cs="仿宋"/>
                <w:bCs/>
                <w:sz w:val="24"/>
                <w:szCs w:val="18"/>
                <w:highlight w:val="none"/>
              </w:rPr>
              <w:t>章报价表格式</w:t>
            </w:r>
          </w:p>
        </w:tc>
      </w:tr>
    </w:tbl>
    <w:p w14:paraId="56EE70B8">
      <w:pPr>
        <w:numPr>
          <w:numId w:val="0"/>
        </w:numPr>
        <w:rPr>
          <w:rFonts w:hint="eastAsia"/>
          <w:lang w:val="en-US" w:eastAsia="zh-CN"/>
        </w:rPr>
      </w:pPr>
    </w:p>
    <w:p w14:paraId="501EAD1D">
      <w:pPr>
        <w:pStyle w:val="2"/>
        <w:pageBreakBefore w:val="0"/>
        <w:kinsoku/>
        <w:overflowPunct/>
        <w:topLinePunct w:val="0"/>
        <w:bidi w:val="0"/>
        <w:spacing w:before="0" w:after="0" w:line="500" w:lineRule="exact"/>
        <w:jc w:val="center"/>
        <w:textAlignment w:val="auto"/>
        <w:rPr>
          <w:rFonts w:hint="eastAsia" w:ascii="华文中宋" w:hAnsi="华文中宋" w:eastAsia="华文中宋"/>
          <w:highlight w:val="none"/>
        </w:rPr>
      </w:pPr>
    </w:p>
    <w:p w14:paraId="43D3421C">
      <w:pPr>
        <w:pageBreakBefore w:val="0"/>
        <w:kinsoku/>
        <w:overflowPunct/>
        <w:topLinePunct w:val="0"/>
        <w:bidi w:val="0"/>
        <w:spacing w:line="500" w:lineRule="exact"/>
        <w:textAlignment w:val="auto"/>
        <w:rPr>
          <w:rFonts w:hint="eastAsia" w:ascii="华文中宋" w:hAnsi="华文中宋" w:eastAsia="华文中宋"/>
          <w:highlight w:val="none"/>
        </w:rPr>
      </w:pPr>
    </w:p>
    <w:p w14:paraId="7E042692">
      <w:pPr>
        <w:pageBreakBefore w:val="0"/>
        <w:kinsoku/>
        <w:overflowPunct/>
        <w:topLinePunct w:val="0"/>
        <w:bidi w:val="0"/>
        <w:spacing w:line="500" w:lineRule="exact"/>
        <w:textAlignment w:val="auto"/>
        <w:rPr>
          <w:rFonts w:hint="eastAsia" w:ascii="华文中宋" w:hAnsi="华文中宋" w:eastAsia="华文中宋"/>
          <w:highlight w:val="none"/>
        </w:rPr>
      </w:pPr>
      <w:bookmarkStart w:id="3" w:name="_GoBack"/>
      <w:bookmarkEnd w:id="3"/>
    </w:p>
    <w:p w14:paraId="2CC92FBE">
      <w:pPr>
        <w:pageBreakBefore w:val="0"/>
        <w:kinsoku/>
        <w:overflowPunct/>
        <w:topLinePunct w:val="0"/>
        <w:bidi w:val="0"/>
        <w:spacing w:line="500" w:lineRule="exact"/>
        <w:textAlignment w:val="auto"/>
        <w:rPr>
          <w:rFonts w:hint="eastAsia" w:ascii="华文中宋" w:hAnsi="华文中宋" w:eastAsia="华文中宋"/>
          <w:highlight w:val="none"/>
        </w:rPr>
      </w:pPr>
    </w:p>
    <w:bookmarkEnd w:id="1"/>
    <w:p w14:paraId="3DCB2523">
      <w:pPr>
        <w:pageBreakBefore w:val="0"/>
        <w:kinsoku/>
        <w:overflowPunct/>
        <w:topLinePunct w:val="0"/>
        <w:bidi w:val="0"/>
        <w:spacing w:line="500" w:lineRule="exact"/>
        <w:textAlignment w:val="auto"/>
        <w:rPr>
          <w:rFonts w:hint="eastAsia"/>
          <w:color w:val="000000" w:themeColor="text1"/>
          <w:highlight w:val="none"/>
          <w:lang w:val="en-US" w:eastAsia="zh-CN"/>
          <w14:textFill>
            <w14:solidFill>
              <w14:schemeClr w14:val="tx1"/>
            </w14:solidFill>
          </w14:textFill>
        </w:rPr>
      </w:pPr>
    </w:p>
    <w:sectPr>
      <w:pgSz w:w="11906" w:h="16838"/>
      <w:pgMar w:top="850" w:right="850" w:bottom="850" w:left="850" w:header="851" w:footer="992"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8"/>
    <w:family w:val="modern"/>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华文中宋">
    <w:panose1 w:val="02010600040101010101"/>
    <w:charset w:val="86"/>
    <w:family w:val="auto"/>
    <w:pitch w:val="default"/>
    <w:sig w:usb0="00000287" w:usb1="080F0000" w:usb2="00000000" w:usb3="00000000" w:csb0="0004009F" w:csb1="DFD70000"/>
  </w:font>
  <w:font w:name="仿宋">
    <w:panose1 w:val="02010609060101010101"/>
    <w:charset w:val="86"/>
    <w:family w:val="auto"/>
    <w:pitch w:val="default"/>
    <w:sig w:usb0="800002BF" w:usb1="38CF7CFA" w:usb2="00000016" w:usb3="00000000" w:csb0="00040001" w:csb1="00000000"/>
  </w:font>
  <w:font w:name="华文仿宋">
    <w:panose1 w:val="02010600040101010101"/>
    <w:charset w:val="86"/>
    <w:family w:val="auto"/>
    <w:pitch w:val="default"/>
    <w:sig w:usb0="00000287" w:usb1="080F0000" w:usb2="00000000" w:usb3="00000000" w:csb0="0004009F" w:csb1="DFD7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A9E890A"/>
    <w:multiLevelType w:val="singleLevel"/>
    <w:tmpl w:val="9A9E890A"/>
    <w:lvl w:ilvl="0" w:tentative="0">
      <w:start w:val="2"/>
      <w:numFmt w:val="decimal"/>
      <w:lvlText w:val="%1."/>
      <w:lvlJc w:val="left"/>
      <w:pPr>
        <w:tabs>
          <w:tab w:val="left" w:pos="312"/>
        </w:tabs>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2Y2MjE2NWRiNWExODdlZTQ4NmVmMGRlZmE1OTlkMzcifQ=="/>
  </w:docVars>
  <w:rsids>
    <w:rsidRoot w:val="00000000"/>
    <w:rsid w:val="0002117A"/>
    <w:rsid w:val="005D2854"/>
    <w:rsid w:val="01F825B1"/>
    <w:rsid w:val="02355837"/>
    <w:rsid w:val="04AE18D1"/>
    <w:rsid w:val="065F7326"/>
    <w:rsid w:val="0680780B"/>
    <w:rsid w:val="06E11AE9"/>
    <w:rsid w:val="07155C37"/>
    <w:rsid w:val="07723089"/>
    <w:rsid w:val="09042B34"/>
    <w:rsid w:val="0A771448"/>
    <w:rsid w:val="0AD16319"/>
    <w:rsid w:val="0BA26533"/>
    <w:rsid w:val="0CAE1E2D"/>
    <w:rsid w:val="0D8E229F"/>
    <w:rsid w:val="0F594451"/>
    <w:rsid w:val="119D27AD"/>
    <w:rsid w:val="13004177"/>
    <w:rsid w:val="1314234F"/>
    <w:rsid w:val="187C3D68"/>
    <w:rsid w:val="18D94D16"/>
    <w:rsid w:val="1AEE25CF"/>
    <w:rsid w:val="1BCF41AF"/>
    <w:rsid w:val="1C3F7586"/>
    <w:rsid w:val="1EA95F40"/>
    <w:rsid w:val="1F882FF2"/>
    <w:rsid w:val="1FEC3BDC"/>
    <w:rsid w:val="22A5113B"/>
    <w:rsid w:val="23411E36"/>
    <w:rsid w:val="23B22F0A"/>
    <w:rsid w:val="24942439"/>
    <w:rsid w:val="24DC60AB"/>
    <w:rsid w:val="260D5FFF"/>
    <w:rsid w:val="26591245"/>
    <w:rsid w:val="26D3029E"/>
    <w:rsid w:val="26F92A28"/>
    <w:rsid w:val="286839C1"/>
    <w:rsid w:val="28E460E6"/>
    <w:rsid w:val="295C40CC"/>
    <w:rsid w:val="2B3E6C5B"/>
    <w:rsid w:val="2B9B22FF"/>
    <w:rsid w:val="2D404F0C"/>
    <w:rsid w:val="2DE75388"/>
    <w:rsid w:val="2F202F8D"/>
    <w:rsid w:val="2FA8323D"/>
    <w:rsid w:val="30C714A1"/>
    <w:rsid w:val="317A6513"/>
    <w:rsid w:val="324A2389"/>
    <w:rsid w:val="33A602D2"/>
    <w:rsid w:val="363870C8"/>
    <w:rsid w:val="37B7226F"/>
    <w:rsid w:val="37BB6D6F"/>
    <w:rsid w:val="39E3734B"/>
    <w:rsid w:val="3B3A743F"/>
    <w:rsid w:val="3BBD1E1E"/>
    <w:rsid w:val="3C575DCE"/>
    <w:rsid w:val="3C815230"/>
    <w:rsid w:val="3E375EB7"/>
    <w:rsid w:val="3EBB0897"/>
    <w:rsid w:val="419D4283"/>
    <w:rsid w:val="41E00614"/>
    <w:rsid w:val="440D6776"/>
    <w:rsid w:val="44224F14"/>
    <w:rsid w:val="44CD1324"/>
    <w:rsid w:val="45273465"/>
    <w:rsid w:val="4613720A"/>
    <w:rsid w:val="485D196F"/>
    <w:rsid w:val="48A524F2"/>
    <w:rsid w:val="48FB00FC"/>
    <w:rsid w:val="4907292A"/>
    <w:rsid w:val="49B93C25"/>
    <w:rsid w:val="4ECA2430"/>
    <w:rsid w:val="51D33CF1"/>
    <w:rsid w:val="52AF3E17"/>
    <w:rsid w:val="52EF06B7"/>
    <w:rsid w:val="53124F59"/>
    <w:rsid w:val="53591FD4"/>
    <w:rsid w:val="53A414A2"/>
    <w:rsid w:val="54014B46"/>
    <w:rsid w:val="544467E1"/>
    <w:rsid w:val="54684F28"/>
    <w:rsid w:val="547F5A6B"/>
    <w:rsid w:val="57322089"/>
    <w:rsid w:val="57544F8D"/>
    <w:rsid w:val="58FA7DB6"/>
    <w:rsid w:val="5A0762FC"/>
    <w:rsid w:val="5C594DF3"/>
    <w:rsid w:val="5EA26F25"/>
    <w:rsid w:val="61D07906"/>
    <w:rsid w:val="61F07FA8"/>
    <w:rsid w:val="630E4B89"/>
    <w:rsid w:val="64656A2B"/>
    <w:rsid w:val="652C7549"/>
    <w:rsid w:val="66BD7DFD"/>
    <w:rsid w:val="69272501"/>
    <w:rsid w:val="6AA12252"/>
    <w:rsid w:val="6ACA583A"/>
    <w:rsid w:val="6CBF6EF4"/>
    <w:rsid w:val="6E192634"/>
    <w:rsid w:val="6FF42B5B"/>
    <w:rsid w:val="70C66AA3"/>
    <w:rsid w:val="72256902"/>
    <w:rsid w:val="74406B6D"/>
    <w:rsid w:val="753366D1"/>
    <w:rsid w:val="79741884"/>
    <w:rsid w:val="7ABB6F4D"/>
    <w:rsid w:val="7AEE7323"/>
    <w:rsid w:val="7B292109"/>
    <w:rsid w:val="7B963516"/>
    <w:rsid w:val="7C8D4919"/>
    <w:rsid w:val="7D360B0D"/>
    <w:rsid w:val="7EA146AC"/>
    <w:rsid w:val="7ECF2FC7"/>
    <w:rsid w:val="7EFC5D86"/>
    <w:rsid w:val="7F253044"/>
    <w:rsid w:val="7F7D0C7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9" w:semiHidden="0" w:name="heading 2"/>
    <w:lsdException w:qFormat="1" w:uiPriority="0" w:semiHidden="0" w:name="heading 3"/>
    <w:lsdException w:qFormat="1" w:unhideWhenUsed="0" w:uiPriority="9"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9"/>
    <w:pPr>
      <w:keepNext/>
      <w:keepLines/>
      <w:spacing w:before="340" w:after="330" w:line="578" w:lineRule="auto"/>
      <w:outlineLvl w:val="0"/>
    </w:pPr>
    <w:rPr>
      <w:rFonts w:eastAsia="宋体" w:asciiTheme="minorAscii" w:hAnsiTheme="minorAscii"/>
      <w:b/>
      <w:bCs/>
      <w:kern w:val="44"/>
      <w:sz w:val="28"/>
      <w:szCs w:val="44"/>
    </w:rPr>
  </w:style>
  <w:style w:type="paragraph" w:styleId="3">
    <w:name w:val="heading 2"/>
    <w:basedOn w:val="1"/>
    <w:next w:val="1"/>
    <w:link w:val="15"/>
    <w:qFormat/>
    <w:uiPriority w:val="9"/>
    <w:pPr>
      <w:keepNext/>
      <w:keepLines/>
      <w:spacing w:before="260" w:after="260" w:line="416" w:lineRule="auto"/>
      <w:outlineLvl w:val="1"/>
    </w:pPr>
    <w:rPr>
      <w:rFonts w:ascii="Cambria" w:hAnsi="Cambria" w:eastAsia="仿宋_GB2312"/>
      <w:bCs/>
      <w:sz w:val="28"/>
      <w:szCs w:val="32"/>
    </w:rPr>
  </w:style>
  <w:style w:type="paragraph" w:styleId="4">
    <w:name w:val="heading 3"/>
    <w:basedOn w:val="1"/>
    <w:next w:val="1"/>
    <w:unhideWhenUsed/>
    <w:qFormat/>
    <w:uiPriority w:val="0"/>
    <w:pPr>
      <w:keepNext/>
      <w:keepLines/>
      <w:spacing w:before="260" w:beforeLines="0" w:beforeAutospacing="0" w:after="260" w:afterLines="0" w:afterAutospacing="0" w:line="413" w:lineRule="auto"/>
      <w:outlineLvl w:val="2"/>
    </w:pPr>
    <w:rPr>
      <w:rFonts w:eastAsia="仿宋_GB2312" w:asciiTheme="minorAscii" w:hAnsiTheme="minorAscii"/>
      <w:sz w:val="28"/>
    </w:rPr>
  </w:style>
  <w:style w:type="paragraph" w:styleId="5">
    <w:name w:val="heading 4"/>
    <w:basedOn w:val="1"/>
    <w:next w:val="1"/>
    <w:qFormat/>
    <w:uiPriority w:val="9"/>
    <w:pPr>
      <w:keepNext/>
      <w:keepLines/>
      <w:spacing w:before="280" w:after="290" w:line="376" w:lineRule="auto"/>
      <w:outlineLvl w:val="3"/>
    </w:pPr>
    <w:rPr>
      <w:rFonts w:ascii="Cambria" w:hAnsi="Cambria"/>
      <w:b/>
      <w:bCs/>
      <w:sz w:val="28"/>
      <w:szCs w:val="28"/>
    </w:rPr>
  </w:style>
  <w:style w:type="character" w:default="1" w:styleId="12">
    <w:name w:val="Default Paragraph Font"/>
    <w:semiHidden/>
    <w:qFormat/>
    <w:uiPriority w:val="0"/>
  </w:style>
  <w:style w:type="table" w:default="1" w:styleId="11">
    <w:name w:val="Normal Table"/>
    <w:semiHidden/>
    <w:qFormat/>
    <w:uiPriority w:val="0"/>
    <w:tblPr>
      <w:tblCellMar>
        <w:top w:w="0" w:type="dxa"/>
        <w:left w:w="108" w:type="dxa"/>
        <w:bottom w:w="0" w:type="dxa"/>
        <w:right w:w="108" w:type="dxa"/>
      </w:tblCellMar>
    </w:tblPr>
  </w:style>
  <w:style w:type="paragraph" w:styleId="6">
    <w:name w:val="Normal Indent"/>
    <w:basedOn w:val="1"/>
    <w:qFormat/>
    <w:uiPriority w:val="0"/>
    <w:pPr>
      <w:ind w:firstLine="420" w:firstLineChars="200"/>
    </w:pPr>
  </w:style>
  <w:style w:type="paragraph" w:styleId="7">
    <w:name w:val="Body Text"/>
    <w:basedOn w:val="1"/>
    <w:next w:val="8"/>
    <w:qFormat/>
    <w:uiPriority w:val="99"/>
    <w:pPr>
      <w:spacing w:before="60" w:after="60" w:line="360" w:lineRule="auto"/>
      <w:ind w:firstLine="200"/>
    </w:pPr>
    <w:rPr>
      <w:rFonts w:ascii="Times New Roman" w:hAnsi="Times New Roman" w:eastAsia="仿宋_GB2312"/>
      <w:kern w:val="2"/>
      <w:sz w:val="32"/>
      <w:szCs w:val="24"/>
    </w:rPr>
  </w:style>
  <w:style w:type="paragraph" w:styleId="8">
    <w:name w:val="Subtitle"/>
    <w:basedOn w:val="1"/>
    <w:next w:val="1"/>
    <w:qFormat/>
    <w:uiPriority w:val="0"/>
    <w:pPr>
      <w:spacing w:before="240" w:after="60" w:line="312" w:lineRule="auto"/>
      <w:jc w:val="center"/>
      <w:outlineLvl w:val="1"/>
    </w:pPr>
    <w:rPr>
      <w:rFonts w:ascii="Cambria" w:hAnsi="Cambria"/>
      <w:b/>
      <w:bCs/>
      <w:kern w:val="28"/>
      <w:sz w:val="32"/>
      <w:szCs w:val="32"/>
    </w:rPr>
  </w:style>
  <w:style w:type="paragraph" w:styleId="9">
    <w:name w:val="footer"/>
    <w:basedOn w:val="1"/>
    <w:unhideWhenUsed/>
    <w:qFormat/>
    <w:uiPriority w:val="99"/>
    <w:pPr>
      <w:tabs>
        <w:tab w:val="center" w:pos="4153"/>
        <w:tab w:val="right" w:pos="8306"/>
      </w:tabs>
      <w:snapToGrid w:val="0"/>
      <w:jc w:val="left"/>
    </w:pPr>
    <w:rPr>
      <w:sz w:val="18"/>
      <w:szCs w:val="18"/>
    </w:rPr>
  </w:style>
  <w:style w:type="paragraph" w:styleId="10">
    <w:name w:val="Normal (Web)"/>
    <w:basedOn w:val="1"/>
    <w:qFormat/>
    <w:uiPriority w:val="0"/>
    <w:pPr>
      <w:spacing w:before="0" w:beforeAutospacing="1" w:after="0" w:afterAutospacing="1"/>
      <w:ind w:left="0" w:right="0"/>
      <w:jc w:val="left"/>
    </w:pPr>
    <w:rPr>
      <w:kern w:val="0"/>
      <w:sz w:val="24"/>
      <w:lang w:val="en-US" w:eastAsia="zh-CN" w:bidi="ar"/>
    </w:rPr>
  </w:style>
  <w:style w:type="character" w:styleId="13">
    <w:name w:val="page number"/>
    <w:basedOn w:val="12"/>
    <w:qFormat/>
    <w:uiPriority w:val="0"/>
  </w:style>
  <w:style w:type="paragraph" w:styleId="14">
    <w:name w:val="List Paragraph"/>
    <w:basedOn w:val="1"/>
    <w:qFormat/>
    <w:uiPriority w:val="34"/>
    <w:pPr>
      <w:ind w:firstLine="420" w:firstLineChars="200"/>
    </w:pPr>
  </w:style>
  <w:style w:type="character" w:customStyle="1" w:styleId="15">
    <w:name w:val="标题 2 Char"/>
    <w:link w:val="3"/>
    <w:qFormat/>
    <w:uiPriority w:val="9"/>
    <w:rPr>
      <w:rFonts w:ascii="Cambria" w:hAnsi="Cambria" w:eastAsia="仿宋_GB2312"/>
      <w:bCs/>
      <w:sz w:val="28"/>
      <w:szCs w:val="32"/>
    </w:rPr>
  </w:style>
  <w:style w:type="paragraph" w:customStyle="1" w:styleId="16">
    <w:name w:val="Default"/>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3074</Words>
  <Characters>3185</Characters>
  <Lines>0</Lines>
  <Paragraphs>0</Paragraphs>
  <TotalTime>0</TotalTime>
  <ScaleCrop>false</ScaleCrop>
  <LinksUpToDate>false</LinksUpToDate>
  <CharactersWithSpaces>3380</CharactersWithSpaces>
  <Application>WPS Office_12.1.0.17857_F1E327BC-269C-435d-A152-05C5408002CA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2021-06-11T03:20:00Z</dcterms:created>
  <dc:creator>Lenovo</dc:creator>
  <cp:lastModifiedBy>cs</cp:lastModifiedBy>
  <cp:lastPrinted>2021-08-23T04:51:00Z</cp:lastPrinted>
  <dcterms:modified xsi:type="dcterms:W3CDTF">2024-09-02T09:40:51Z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2052-12.1.0.17857</vt:lpwstr>
  </property>
  <property fmtid="{D5CDD505-2E9C-101B-9397-08002B2CF9AE}" pid="3" name="ICV">
    <vt:lpwstr>49D8CFA54F6742D9A8AE211B89B3335B_13</vt:lpwstr>
  </property>
</Properties>
</file>