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A0B35">
      <w:pPr>
        <w:jc w:val="left"/>
        <w:rPr>
          <w:rFonts w:ascii="Arial" w:hAnsi="Arial" w:eastAsia="黑体" w:cs="Times New Roman"/>
          <w:b/>
          <w:bCs/>
          <w:sz w:val="32"/>
          <w:szCs w:val="3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附件1：项目需求</w:t>
      </w:r>
    </w:p>
    <w:p w14:paraId="5F07A7F4">
      <w:pPr>
        <w:spacing w:line="500" w:lineRule="exac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（本章中标注“★”的条款为本项目的实质性条款，投标人不满足的，将按照无效投标处理。）</w:t>
      </w:r>
    </w:p>
    <w:p w14:paraId="4A3A2498">
      <w:pPr>
        <w:spacing w:line="500" w:lineRule="exac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一、项目概述：</w:t>
      </w:r>
    </w:p>
    <w:p w14:paraId="2F0D0A75">
      <w:pPr>
        <w:spacing w:line="500" w:lineRule="exact"/>
        <w:ind w:firstLine="480" w:firstLineChars="200"/>
      </w:pPr>
      <w:r>
        <w:rPr>
          <w:rFonts w:hint="eastAsia" w:ascii="宋体" w:hAnsi="宋体" w:eastAsia="宋体" w:cs="宋体"/>
          <w:sz w:val="24"/>
        </w:rPr>
        <w:t>本项目1个包，采购成都市龙泉驿区妇幼保健院正版办公软件场地授权服务</w:t>
      </w:r>
      <w:r>
        <w:rPr>
          <w:rFonts w:hint="eastAsia" w:ascii="宋体" w:hAnsi="宋体" w:eastAsia="宋体" w:cs="宋体"/>
          <w:sz w:val="24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</w:rPr>
        <w:t>，具体内容如下：</w:t>
      </w:r>
    </w:p>
    <w:tbl>
      <w:tblPr>
        <w:tblStyle w:val="15"/>
        <w:tblW w:w="10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3972"/>
        <w:gridCol w:w="1372"/>
        <w:gridCol w:w="1575"/>
        <w:gridCol w:w="2619"/>
      </w:tblGrid>
      <w:tr w14:paraId="32729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860" w:type="dxa"/>
            <w:vAlign w:val="center"/>
          </w:tcPr>
          <w:p w14:paraId="70B64816">
            <w:pPr>
              <w:pStyle w:val="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包号</w:t>
            </w:r>
          </w:p>
        </w:tc>
        <w:tc>
          <w:tcPr>
            <w:tcW w:w="3972" w:type="dxa"/>
            <w:vAlign w:val="center"/>
          </w:tcPr>
          <w:p w14:paraId="2C9BED22">
            <w:pPr>
              <w:pStyle w:val="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标的名称</w:t>
            </w:r>
          </w:p>
        </w:tc>
        <w:tc>
          <w:tcPr>
            <w:tcW w:w="1372" w:type="dxa"/>
            <w:vAlign w:val="center"/>
          </w:tcPr>
          <w:p w14:paraId="23FC4BE9">
            <w:pPr>
              <w:pStyle w:val="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1575" w:type="dxa"/>
            <w:vAlign w:val="center"/>
          </w:tcPr>
          <w:p w14:paraId="237C97A0">
            <w:pPr>
              <w:pStyle w:val="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2619" w:type="dxa"/>
            <w:vAlign w:val="center"/>
          </w:tcPr>
          <w:p w14:paraId="70367513">
            <w:pPr>
              <w:pStyle w:val="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最高限价（元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/年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</w:tr>
      <w:tr w14:paraId="5745D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60" w:type="dxa"/>
            <w:vAlign w:val="center"/>
          </w:tcPr>
          <w:p w14:paraId="0667582F">
            <w:pPr>
              <w:pStyle w:val="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01</w:t>
            </w:r>
          </w:p>
        </w:tc>
        <w:tc>
          <w:tcPr>
            <w:tcW w:w="3972" w:type="dxa"/>
            <w:vAlign w:val="center"/>
          </w:tcPr>
          <w:p w14:paraId="1E73410B">
            <w:pPr>
              <w:pStyle w:val="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正版办公软件场地授权服务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项目</w:t>
            </w:r>
          </w:p>
        </w:tc>
        <w:tc>
          <w:tcPr>
            <w:tcW w:w="1372" w:type="dxa"/>
            <w:vAlign w:val="center"/>
          </w:tcPr>
          <w:p w14:paraId="4D571C70">
            <w:pPr>
              <w:pStyle w:val="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75" w:type="dxa"/>
            <w:vAlign w:val="center"/>
          </w:tcPr>
          <w:p w14:paraId="50B8A908">
            <w:pPr>
              <w:pStyle w:val="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2619" w:type="dxa"/>
            <w:vAlign w:val="center"/>
          </w:tcPr>
          <w:p w14:paraId="4729BB4A">
            <w:pPr>
              <w:pStyle w:val="5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80000.00</w:t>
            </w:r>
          </w:p>
        </w:tc>
      </w:tr>
    </w:tbl>
    <w:p w14:paraId="4E1C81CD">
      <w:pPr>
        <w:widowControl/>
        <w:numPr>
          <w:ilvl w:val="255"/>
          <w:numId w:val="0"/>
        </w:numPr>
        <w:spacing w:line="500" w:lineRule="exact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★</w:t>
      </w:r>
      <w:r>
        <w:rPr>
          <w:rFonts w:hint="eastAsia" w:ascii="宋体" w:hAnsi="宋体" w:eastAsia="宋体" w:cs="宋体"/>
          <w:b/>
          <w:bCs/>
          <w:sz w:val="24"/>
        </w:rPr>
        <w:t>二、商务要求：</w:t>
      </w:r>
    </w:p>
    <w:p w14:paraId="53B89038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1、服务地点：成都市龙泉驿区妇幼保健院。</w:t>
      </w:r>
    </w:p>
    <w:p w14:paraId="0268F69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仿宋_GB2312"/>
          <w:bCs/>
          <w:sz w:val="24"/>
        </w:rPr>
        <w:t>2、服务期限：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</w:rPr>
        <w:t>服务期三年，合同一年一签，经考核合格后签订下一年度合同。</w:t>
      </w:r>
    </w:p>
    <w:p w14:paraId="0902F1BF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3、付款要求：</w:t>
      </w:r>
    </w:p>
    <w:p w14:paraId="581C59F4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3.1 付款方式：</w:t>
      </w:r>
    </w:p>
    <w:p w14:paraId="3C057BE6">
      <w:pPr>
        <w:spacing w:line="360" w:lineRule="auto"/>
        <w:ind w:firstLine="480" w:firstLineChars="200"/>
        <w:rPr>
          <w:rFonts w:ascii="宋体" w:hAnsi="宋体" w:eastAsia="宋体" w:cs="宋体"/>
          <w:bCs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仿宋_GB2312"/>
          <w:bCs/>
          <w:sz w:val="24"/>
          <w:highlight w:val="none"/>
          <w:lang w:val="en-US" w:eastAsia="zh-CN"/>
        </w:rPr>
        <w:t>3.1.1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bidi="ar"/>
        </w:rPr>
        <w:t>双方签订服务和合同后30个工作日内，采购人向中选人支付合同总金额的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 w:bidi="ar"/>
        </w:rPr>
        <w:t>90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bidi="ar"/>
        </w:rPr>
        <w:t>%；</w:t>
      </w:r>
    </w:p>
    <w:p w14:paraId="69254F3C">
      <w:pPr>
        <w:widowControl/>
        <w:spacing w:line="360" w:lineRule="auto"/>
        <w:ind w:firstLine="480" w:firstLineChars="200"/>
        <w:jc w:val="left"/>
        <w:rPr>
          <w:rFonts w:hint="eastAsia" w:ascii="宋体" w:hAnsi="宋体" w:cs="仿宋_GB2312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  <w:lang w:bidi="ar"/>
        </w:rPr>
        <w:t>3.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 w:bidi="ar"/>
        </w:rPr>
        <w:t>1.2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bidi="ar"/>
        </w:rPr>
        <w:t>服务合同期满后30个工作日内，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 w:bidi="ar"/>
        </w:rPr>
        <w:t>提交年度服务报告由采购人验收通过后，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bidi="ar"/>
        </w:rPr>
        <w:t>采购人向中选人支付合同总金额的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 w:bidi="ar"/>
        </w:rPr>
        <w:t>10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bidi="ar"/>
        </w:rPr>
        <w:t>%。</w:t>
      </w:r>
    </w:p>
    <w:p w14:paraId="281D2451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3.2 付款条件：每次款项的支付前提均为采购人在收到中标人出具的正规发票20日内予以办理合同款项的支付事宜。</w:t>
      </w:r>
    </w:p>
    <w:p w14:paraId="666FFB93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3.3 逾期支付责任：采购人不得以机构变动、人员更替、政策调整等为由延迟付款，不得将采购文件和合同中未规定的义务作为向供应商付款的条件。采购人逾期付款的，依据相关规定承担相关责任。</w:t>
      </w:r>
      <w:r>
        <w:rPr>
          <w:rFonts w:hint="eastAsia" w:ascii="宋体" w:hAnsi="宋体" w:cs="仿宋_GB2312"/>
          <w:b/>
          <w:sz w:val="24"/>
        </w:rPr>
        <w:t>（注：此条款为采购人逾期支付责任的说明，投标人对此条款可不作响应。）</w:t>
      </w:r>
    </w:p>
    <w:p w14:paraId="1A1D0FE7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4、履约验收要求：</w:t>
      </w:r>
    </w:p>
    <w:p w14:paraId="5E58834E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中标人与采购人应严格按照四川省财政厅关于印发《四川省政府采购项目需求论证和履约验收管理办法》的通知（川财采[2015]32号）要求进行验收，采购方有权邀请第三方机构或质检部门共同验收。</w:t>
      </w:r>
    </w:p>
    <w:p w14:paraId="284410D5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4.1 验收方法：验收时双方皆应派员参加，验收合格并安装完毕后需双方签署验收单。</w:t>
      </w:r>
    </w:p>
    <w:p w14:paraId="37285609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4.2 验收标准：严格按照政府采购相关法律法规及部门规章执行，以</w:t>
      </w:r>
      <w:r>
        <w:rPr>
          <w:rFonts w:hint="eastAsia" w:ascii="宋体" w:hAnsi="宋体" w:cs="仿宋_GB2312"/>
          <w:bCs/>
          <w:sz w:val="24"/>
          <w:lang w:val="en-US" w:eastAsia="zh-CN"/>
        </w:rPr>
        <w:t>采购</w:t>
      </w:r>
      <w:r>
        <w:rPr>
          <w:rFonts w:hint="eastAsia" w:ascii="宋体" w:hAnsi="宋体" w:cs="仿宋_GB2312"/>
          <w:bCs/>
          <w:sz w:val="24"/>
        </w:rPr>
        <w:t>文件技术参数要求及投标文件技术响应为准。如出现未在招标文件中明确规定的，以行业相关标准为准。符合国家相关规定的合格软件；保证所供的货物皆为原厂原装、全新、未使用过，并按照相关技术要求进行安装、调试，并完全满足需方采购提出的工作需要。</w:t>
      </w:r>
    </w:p>
    <w:p w14:paraId="530803A6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4.3 验收时间要求：中标人按照合同要求完成全部货物运输、安装、系统调试等全部工作后，采购人在收到书面的验收申请材料后30日内组织履约验收工作。</w:t>
      </w:r>
    </w:p>
    <w:p w14:paraId="7B7ED18B">
      <w:pPr>
        <w:spacing w:line="360" w:lineRule="auto"/>
        <w:ind w:firstLine="480" w:firstLineChars="200"/>
        <w:rPr>
          <w:rFonts w:hint="eastAsia" w:ascii="宋体" w:hAnsi="宋体" w:cs="仿宋_GB2312"/>
          <w:bCs/>
          <w:sz w:val="24"/>
        </w:rPr>
      </w:pPr>
      <w:r>
        <w:rPr>
          <w:rFonts w:hint="eastAsia" w:ascii="宋体" w:hAnsi="宋体" w:cs="仿宋_GB2312"/>
          <w:bCs/>
          <w:sz w:val="24"/>
        </w:rPr>
        <w:t>4.4 其他验收要求：验收不合格时，采购人和中标人应协商一致，中标人应根据相关验收证明材料及时补足或整改，费用由中标人自行承担。</w:t>
      </w:r>
    </w:p>
    <w:p w14:paraId="68261183">
      <w:pPr>
        <w:widowControl/>
        <w:numPr>
          <w:ilvl w:val="255"/>
          <w:numId w:val="0"/>
        </w:numPr>
        <w:spacing w:line="500" w:lineRule="exact"/>
        <w:rPr>
          <w:rFonts w:hint="eastAsia"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三、技术、服务要求：</w:t>
      </w:r>
    </w:p>
    <w:p w14:paraId="1804E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（一）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PC端办公软件服务</w:t>
      </w:r>
    </w:p>
    <w:p w14:paraId="5DF87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1. 基本功能</w:t>
      </w:r>
    </w:p>
    <w:p w14:paraId="25FF9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1.1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须包含文字处理、电子表格和演示文稿、PDF阅读器四大功能模块，各模块可整合在同一窗口下，亦可分别可在独立窗口中运行。在多窗口模式下支持在系统任务栏显示多主窗口，可以通过快捷键来回切换查看多个文档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4C0A5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1.2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▲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支持四级宏安全性设置（非常高、高、中、低），可以有效地控制是否允许宏运行（提供功能截图并加盖公章）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64C32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1.3 支持内置浏览器，把浏览器融入办公软件窗口中（提供功能截图并加盖公章）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1C9A3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1.4 支持功能搜索，方便快捷的定位到所需使用的功能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5B3D1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2. 文字</w:t>
      </w:r>
    </w:p>
    <w:p w14:paraId="2EC6D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2.1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支持文字排版、段落布局的功能，可以快速对文档内容进行智能格式整理、批量删除，以及通过拖动方式直观调整悬挂缩进、段落间距等格式（提供功能截图并加盖公章）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18553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2.2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文字模块提供智能导航窗格的功能，根据文章的内容可以自动生成文章结构预览。同时可以在导航窗格内快速对文档结构进行调整，比如删除章节以及对章节进行升降级操作（提供功能截图并加盖公章）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3DC54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2.3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支持导出为图片、word和PDF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2A0A6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3.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表格</w:t>
      </w:r>
    </w:p>
    <w:p w14:paraId="50B09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3.1 ▲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表格模块支持切片器功能，使用切片器直观地筛选数据，切片器使得能够更快且更容易地筛选数据透视表（提供功能截图并加盖公章）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35DED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3.2 支持表格的拆分合并，可以将工作表按照指定内容拆分成多个工作表，也可将同名工作表和相同内容进行多个表格的合并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665E1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3.3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表格模块支持筛选计数功能，需支持多种筛选条件，如内容筛选、颜色筛选、文本筛选；满足筛选唯一项和重复项，支持列表反选；支持筛选列表计数及升降排序；筛选后支持统计图表分析，导出列表与计数（提供功能截图并加盖公章）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39DC4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3.4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支持将图片嵌入单元格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0B670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3.5 支持导出为PDF、图片、海报和CSV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0841C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4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演示文稿</w:t>
      </w:r>
    </w:p>
    <w:p w14:paraId="78A0C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4.1 幻灯片支持大纲视图，可通过框架内容快速生成目录。</w:t>
      </w:r>
    </w:p>
    <w:p w14:paraId="2C0C7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4.2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演示模块支持插入音视频文件，插入的音视频文件不受源文件影响，即使源文件移动位置或者被删除，也不会影响已插入到PPT的音视频文件的正常播放。（提供功能截图并加盖公章）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1D3D7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4.3 演示模块支持批量对字体进行替换，以及批量设置字体格式。</w:t>
      </w:r>
    </w:p>
    <w:p w14:paraId="57E17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4.4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演示模块支持多种放映工具，墨迹、激光笔、聚光灯、放大镜等。（提供功能截图并加盖公章）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61E76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5. 兼容指标</w:t>
      </w:r>
    </w:p>
    <w:p w14:paraId="79577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5.1 支持多种“风格界面”的切换，可以根据个人喜好在安装时自由选择。</w:t>
      </w:r>
    </w:p>
    <w:p w14:paraId="5A8D8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5.2 文件格式双向兼容，各模块支持无缝打开office类文档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00C4D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6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扩展指标</w:t>
      </w:r>
    </w:p>
    <w:p w14:paraId="67414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被B/S架构的应用系统以jsapi加载项方式集成，实现在Web网页调用Office标准接口完成与流式办公软件客户端的数据同步，实现将流式办公软件客户端嵌入网页运行完成系统集成，实现在线编辑、留痕等功能，且业务系统无需利用第三方插件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4C58D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（二）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文档管理服务</w:t>
      </w:r>
    </w:p>
    <w:p w14:paraId="427FC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7. 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文档存储</w:t>
      </w:r>
    </w:p>
    <w:p w14:paraId="766F9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7.1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云服务支持公有云，单账号云存储空间不少于365GB（提供功能截图并加盖公章）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563F8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7.2 提供独立网盘工具，承载当前设备的文件传输、同步信息展示与管理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1CCE3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8 文档分享</w:t>
      </w:r>
    </w:p>
    <w:p w14:paraId="6E702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8.1 ▲支持以链接的方式将文件进行共享，共享时支持设置共享范围、有效期、权限以及免登录访问等配置项；支持共享文件夹，并限制文件夹内文件的下载、另存、打印权限。</w:t>
      </w:r>
    </w:p>
    <w:p w14:paraId="34FE3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8.2 支持企业管理员统一查看及取消组织内已经生成的分享链接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199FD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9. 文档安全</w:t>
      </w:r>
    </w:p>
    <w:p w14:paraId="52F72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9.1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支持安全团队，团队管理员启用文档加密保护，启用后团队内新建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或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上传的文档会自动转换为安全文档，非授权人员无论通过云端还是本地拿到文件都无法访问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02F1A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9.2 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支持文档的多级权限设置，包括文档的预览、编辑、下载、复制、删除等操作权限以及团队文档和企业文档的分享范围权限控制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6F2AD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9.3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支持企业文档展示水印，水印内容可自定义，包括企业名称、部门名称、手机号等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2D2B2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9.4 支持一键转让离职员工所有的企业文档和日程给其他成员，实现文档和工作的交接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14540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10. 后台管理</w:t>
      </w:r>
    </w:p>
    <w:p w14:paraId="2A634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10.1 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支持自定义设置成员和团队的空间使用大小，合理分配空间资源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6AA8D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10.2 支持分级管理，按部门设置管理员的成员管控范围，实现管理员仅能查看和管控自己部门成员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52026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11. 多人协同</w:t>
      </w:r>
    </w:p>
    <w:p w14:paraId="4668B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11.1 支持在线创建word、excel、ppt等文件格式，并进行编辑；文档格式和样式需跟PC端保持一致，不改变字体和显示效果，且修改记录必须留痕保存，并支持通过打开历史版本进行查阅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70CC6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11.2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支持多人编辑时@其他团队成员,并进行消息提醒（提供功能截图并加盖公章）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35A0C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11.3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支持表格协作时针对表格内sheet、区域、列分别设置企业成员查看、编辑权限（提供功能截图并加盖公章）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72658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（三）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即时通讯服务</w:t>
      </w:r>
    </w:p>
    <w:p w14:paraId="10C18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12. 基本要求</w:t>
      </w:r>
    </w:p>
    <w:p w14:paraId="768D8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12.1 支持自动创建全员群、部门群，员工离职自动退出所有群聊。企业成员之间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可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直接搜索名字展开沟通。</w:t>
      </w:r>
    </w:p>
    <w:p w14:paraId="50BAF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12.2 支持在聊天中新建各类协作文档，并支持聊天文档自动关联权限，分享到聊天的文档默认当前成员或群成员可访问，可根据文档使用场景便捷设置权限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29E7A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12.3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支持基于文档的会话功能，企业成员可以直接在文档页面内进行内容的聊天讨论，支持消息内设置/修改文档协作权限（提供功能截图并加盖公章）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2EBF8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12.4 支持单聊和群聊创建的文档归档到企业团队云盘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26504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12.5 支持配置智能机器人，进行消息群发、自动回复等场景应用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6B211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12.6 支持创建企业自建应用并在企业工作台中集中展示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43501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（四）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会议服务</w:t>
      </w:r>
    </w:p>
    <w:p w14:paraId="329F6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13. 成员管控</w:t>
      </w:r>
    </w:p>
    <w:p w14:paraId="03819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创建新会议时，可从企业通讯录中快速邀请参会成员，支持在会议中指定某位会议成员为主持人或演示者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45D76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14. 共享文档协作</w:t>
      </w:r>
    </w:p>
    <w:p w14:paraId="6E158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支持在会议中共享协作文档，可设置共享文档权限，参会者可多人编辑文档，通过远程会议、在线文档尽情沟通与协作（提供功能截图并加盖公章）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2F447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15. 会议管控</w:t>
      </w:r>
    </w:p>
    <w:p w14:paraId="225FF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支持设置全员禁麦、成员入会权限、入会审批、会议录制等操作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650B6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（五）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其他功能</w:t>
      </w:r>
    </w:p>
    <w:p w14:paraId="06191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16. PDF服务</w:t>
      </w:r>
    </w:p>
    <w:p w14:paraId="37E7E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16.1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支持PDF文件的预览、拆分合并，PDF转word、excel、ppt等功能（提供功能截图并加盖公章）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0B3ED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 xml:space="preserve">16.2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支持提取页面文字、表格和图片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 w14:paraId="0881D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17. 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便捷应用</w:t>
      </w:r>
    </w:p>
    <w:p w14:paraId="5F442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▲</w:t>
      </w: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支持文档对比、批量替换等便捷应用（提供功能截图并加盖公章）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1FF79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18. 企业功能</w:t>
      </w:r>
    </w:p>
    <w:p w14:paraId="19C62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支持在启动客户端、分享文档等场景展示单位专属的品牌印记</w:t>
      </w:r>
      <w:r>
        <w:rPr>
          <w:rFonts w:hint="eastAsia" w:ascii="Times New Roman" w:hAnsi="Times New Roman" w:eastAsia="宋体" w:cs="Times New Roman"/>
          <w:i w:val="0"/>
          <w:iCs w:val="0"/>
          <w:color w:val="2F2B20"/>
          <w:kern w:val="0"/>
          <w:sz w:val="24"/>
          <w:szCs w:val="24"/>
          <w:u w:val="none"/>
          <w:lang w:val="en-US" w:eastAsia="zh-CN" w:bidi="ar"/>
        </w:rPr>
        <w:t>。</w:t>
      </w:r>
    </w:p>
    <w:p w14:paraId="5AB44653">
      <w:pPr>
        <w:jc w:val="left"/>
        <w:rPr>
          <w:rFonts w:hint="eastAsia" w:ascii="宋体" w:hAnsi="宋体" w:eastAsia="宋体" w:cs="宋体"/>
          <w:b/>
          <w:sz w:val="32"/>
        </w:rPr>
      </w:pPr>
    </w:p>
    <w:p w14:paraId="10288DB1">
      <w:pPr>
        <w:pStyle w:val="5"/>
        <w:rPr>
          <w:rFonts w:hint="eastAsia" w:ascii="华文中宋" w:hAnsi="华文中宋" w:eastAsia="华文中宋"/>
          <w:b/>
          <w:sz w:val="32"/>
        </w:rPr>
      </w:pPr>
    </w:p>
    <w:p w14:paraId="2577112C">
      <w:pPr>
        <w:rPr>
          <w:rFonts w:hint="eastAsia" w:ascii="华文中宋" w:hAnsi="华文中宋" w:eastAsia="华文中宋"/>
          <w:b/>
          <w:sz w:val="32"/>
        </w:rPr>
      </w:pPr>
    </w:p>
    <w:p w14:paraId="7C994AAA">
      <w:pPr>
        <w:rPr>
          <w:rFonts w:hint="eastAsia" w:ascii="华文中宋" w:hAnsi="华文中宋" w:eastAsia="华文中宋"/>
          <w:b/>
          <w:sz w:val="32"/>
        </w:rPr>
      </w:pPr>
    </w:p>
    <w:p w14:paraId="7F5E27E5">
      <w:pPr>
        <w:rPr>
          <w:rFonts w:hint="eastAsia" w:ascii="华文中宋" w:hAnsi="华文中宋" w:eastAsia="华文中宋"/>
          <w:b/>
          <w:sz w:val="32"/>
        </w:rPr>
      </w:pPr>
    </w:p>
    <w:p w14:paraId="15591C26">
      <w:pPr>
        <w:rPr>
          <w:rFonts w:hint="eastAsia" w:ascii="华文中宋" w:hAnsi="华文中宋" w:eastAsia="华文中宋"/>
          <w:b/>
          <w:sz w:val="32"/>
        </w:rPr>
      </w:pPr>
    </w:p>
    <w:p w14:paraId="70A3B096">
      <w:pPr>
        <w:rPr>
          <w:rFonts w:hint="eastAsia" w:ascii="华文中宋" w:hAnsi="华文中宋" w:eastAsia="华文中宋"/>
          <w:b/>
          <w:sz w:val="32"/>
        </w:rPr>
      </w:pPr>
    </w:p>
    <w:p w14:paraId="14EAC067">
      <w:pPr>
        <w:rPr>
          <w:rFonts w:hint="eastAsia" w:ascii="华文中宋" w:hAnsi="华文中宋" w:eastAsia="华文中宋"/>
          <w:b/>
          <w:sz w:val="32"/>
        </w:rPr>
      </w:pPr>
    </w:p>
    <w:p w14:paraId="21562FCE">
      <w:pPr>
        <w:rPr>
          <w:rFonts w:hint="eastAsia" w:ascii="华文中宋" w:hAnsi="华文中宋" w:eastAsia="华文中宋"/>
          <w:b/>
          <w:sz w:val="32"/>
        </w:rPr>
      </w:pPr>
    </w:p>
    <w:p w14:paraId="5E4752D0"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 w14:paraId="7E367358"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 w14:paraId="0C67AE5C"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 w14:paraId="7EFDFBCE"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 w14:paraId="617A90A9">
      <w:pPr>
        <w:pStyle w:val="5"/>
        <w:jc w:val="left"/>
      </w:pPr>
      <w:bookmarkStart w:id="2" w:name="_GoBack"/>
      <w:bookmarkEnd w:id="2"/>
    </w:p>
    <w:sectPr>
      <w:footerReference r:id="rId3" w:type="default"/>
      <w:pgSz w:w="11906" w:h="16838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</w:sdtPr>
    <w:sdtContent>
      <w:p w14:paraId="57872B17"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14:paraId="3B262BA3"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807131"/>
    <w:multiLevelType w:val="singleLevel"/>
    <w:tmpl w:val="58807131"/>
    <w:lvl w:ilvl="0" w:tentative="0">
      <w:start w:val="1"/>
      <w:numFmt w:val="decimal"/>
      <w:pStyle w:val="31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31ADC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65497"/>
    <w:rsid w:val="00580A53"/>
    <w:rsid w:val="005D51A2"/>
    <w:rsid w:val="00614CB0"/>
    <w:rsid w:val="00636BC4"/>
    <w:rsid w:val="006473E7"/>
    <w:rsid w:val="00674952"/>
    <w:rsid w:val="00675E36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54D09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8389A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D23A2"/>
    <w:rsid w:val="00BE40F8"/>
    <w:rsid w:val="00C012B9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6577E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219E3"/>
    <w:rsid w:val="00F30A99"/>
    <w:rsid w:val="00F54FEB"/>
    <w:rsid w:val="00F56E20"/>
    <w:rsid w:val="00F64198"/>
    <w:rsid w:val="00F665DB"/>
    <w:rsid w:val="00F7479E"/>
    <w:rsid w:val="00F91F4A"/>
    <w:rsid w:val="00FC5006"/>
    <w:rsid w:val="00FE55A2"/>
    <w:rsid w:val="00FE7076"/>
    <w:rsid w:val="012F2443"/>
    <w:rsid w:val="01B21E69"/>
    <w:rsid w:val="01DC691C"/>
    <w:rsid w:val="01EE0DCD"/>
    <w:rsid w:val="01FA5758"/>
    <w:rsid w:val="02094A42"/>
    <w:rsid w:val="02554973"/>
    <w:rsid w:val="031F3DF1"/>
    <w:rsid w:val="033C7424"/>
    <w:rsid w:val="035148F2"/>
    <w:rsid w:val="04E470A0"/>
    <w:rsid w:val="05D80F57"/>
    <w:rsid w:val="08EC358D"/>
    <w:rsid w:val="091A12E3"/>
    <w:rsid w:val="0A595E3B"/>
    <w:rsid w:val="0AA07F0D"/>
    <w:rsid w:val="0BE65DF4"/>
    <w:rsid w:val="0DC61272"/>
    <w:rsid w:val="0F07455D"/>
    <w:rsid w:val="10D60D02"/>
    <w:rsid w:val="135A6FD4"/>
    <w:rsid w:val="14E82BDD"/>
    <w:rsid w:val="15E769F0"/>
    <w:rsid w:val="169C0364"/>
    <w:rsid w:val="16CB7C4D"/>
    <w:rsid w:val="16D15D5A"/>
    <w:rsid w:val="17C90AA4"/>
    <w:rsid w:val="1B2B737F"/>
    <w:rsid w:val="1C60245D"/>
    <w:rsid w:val="1C985A0D"/>
    <w:rsid w:val="1D1125A5"/>
    <w:rsid w:val="1D8E3BF5"/>
    <w:rsid w:val="1DC55869"/>
    <w:rsid w:val="1EF661A9"/>
    <w:rsid w:val="2000527E"/>
    <w:rsid w:val="207D3D07"/>
    <w:rsid w:val="22250FCC"/>
    <w:rsid w:val="23D42CAA"/>
    <w:rsid w:val="24863878"/>
    <w:rsid w:val="24A26904"/>
    <w:rsid w:val="25663335"/>
    <w:rsid w:val="26AC67D7"/>
    <w:rsid w:val="273F48DE"/>
    <w:rsid w:val="291A3AEB"/>
    <w:rsid w:val="2AD215C5"/>
    <w:rsid w:val="2B796EBE"/>
    <w:rsid w:val="2C934D84"/>
    <w:rsid w:val="2F0411E7"/>
    <w:rsid w:val="2F2761D0"/>
    <w:rsid w:val="2F8036E5"/>
    <w:rsid w:val="300817D1"/>
    <w:rsid w:val="32FE389F"/>
    <w:rsid w:val="332B5D3D"/>
    <w:rsid w:val="33FE0690"/>
    <w:rsid w:val="34DB5F9F"/>
    <w:rsid w:val="372E4027"/>
    <w:rsid w:val="37CE2C6F"/>
    <w:rsid w:val="3846695D"/>
    <w:rsid w:val="38520016"/>
    <w:rsid w:val="38991974"/>
    <w:rsid w:val="38E56968"/>
    <w:rsid w:val="3A2C1D7D"/>
    <w:rsid w:val="3AB26D1E"/>
    <w:rsid w:val="3B6A4CA1"/>
    <w:rsid w:val="3D314871"/>
    <w:rsid w:val="3D5529A7"/>
    <w:rsid w:val="3D833B69"/>
    <w:rsid w:val="3DBC3894"/>
    <w:rsid w:val="3E865A59"/>
    <w:rsid w:val="3E9230EE"/>
    <w:rsid w:val="3E960D7F"/>
    <w:rsid w:val="43D60157"/>
    <w:rsid w:val="44044A8E"/>
    <w:rsid w:val="44202F4A"/>
    <w:rsid w:val="45877724"/>
    <w:rsid w:val="458F482B"/>
    <w:rsid w:val="45C02C36"/>
    <w:rsid w:val="47A75B79"/>
    <w:rsid w:val="4871646A"/>
    <w:rsid w:val="49177011"/>
    <w:rsid w:val="4962387D"/>
    <w:rsid w:val="49A07007"/>
    <w:rsid w:val="4A0B1FA6"/>
    <w:rsid w:val="4BBE6CC9"/>
    <w:rsid w:val="4EC92B5C"/>
    <w:rsid w:val="5074152A"/>
    <w:rsid w:val="52AA749C"/>
    <w:rsid w:val="55945546"/>
    <w:rsid w:val="564B02FA"/>
    <w:rsid w:val="56565420"/>
    <w:rsid w:val="578B68A8"/>
    <w:rsid w:val="57CC719B"/>
    <w:rsid w:val="57F3227B"/>
    <w:rsid w:val="581806B0"/>
    <w:rsid w:val="58866BDB"/>
    <w:rsid w:val="59AF294E"/>
    <w:rsid w:val="59E60EDB"/>
    <w:rsid w:val="5A00477A"/>
    <w:rsid w:val="5C361105"/>
    <w:rsid w:val="5CED210B"/>
    <w:rsid w:val="5D700646"/>
    <w:rsid w:val="5D9E51B4"/>
    <w:rsid w:val="5DA11840"/>
    <w:rsid w:val="5E9952E6"/>
    <w:rsid w:val="5EF64B7B"/>
    <w:rsid w:val="5F434FB7"/>
    <w:rsid w:val="5FAF4549"/>
    <w:rsid w:val="61EA79AE"/>
    <w:rsid w:val="62740965"/>
    <w:rsid w:val="627D77E8"/>
    <w:rsid w:val="629E2421"/>
    <w:rsid w:val="63822E81"/>
    <w:rsid w:val="63F83144"/>
    <w:rsid w:val="651641C9"/>
    <w:rsid w:val="66312981"/>
    <w:rsid w:val="69EA28A8"/>
    <w:rsid w:val="6A7A7481"/>
    <w:rsid w:val="6A971908"/>
    <w:rsid w:val="6B9F1111"/>
    <w:rsid w:val="6BC231E3"/>
    <w:rsid w:val="6C0E7B82"/>
    <w:rsid w:val="6E731058"/>
    <w:rsid w:val="6EF02952"/>
    <w:rsid w:val="6FC62348"/>
    <w:rsid w:val="6FF01A18"/>
    <w:rsid w:val="714736DC"/>
    <w:rsid w:val="73C00EDA"/>
    <w:rsid w:val="74324BCE"/>
    <w:rsid w:val="7494340D"/>
    <w:rsid w:val="76561146"/>
    <w:rsid w:val="773004A9"/>
    <w:rsid w:val="77585F7B"/>
    <w:rsid w:val="77E3618D"/>
    <w:rsid w:val="78F341AE"/>
    <w:rsid w:val="79392B41"/>
    <w:rsid w:val="7A7B25F0"/>
    <w:rsid w:val="7C6A0C2B"/>
    <w:rsid w:val="7D311CF4"/>
    <w:rsid w:val="7D515947"/>
    <w:rsid w:val="7D602BB2"/>
    <w:rsid w:val="7E235535"/>
    <w:rsid w:val="7EA46DC9"/>
    <w:rsid w:val="7FC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3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200" w:firstLineChars="20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unhideWhenUsed/>
    <w:qFormat/>
    <w:uiPriority w:val="0"/>
    <w:pPr>
      <w:spacing w:after="120"/>
    </w:pPr>
  </w:style>
  <w:style w:type="paragraph" w:styleId="6">
    <w:name w:val="Date"/>
    <w:basedOn w:val="1"/>
    <w:next w:val="1"/>
    <w:link w:val="26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13">
    <w:name w:val="Body Text First Indent"/>
    <w:basedOn w:val="5"/>
    <w:qFormat/>
    <w:uiPriority w:val="0"/>
    <w:pPr>
      <w:ind w:firstLine="420" w:firstLineChars="100"/>
    </w:pPr>
  </w:style>
  <w:style w:type="table" w:styleId="15">
    <w:name w:val="Table Grid"/>
    <w:basedOn w:val="1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7">
    <w:name w:val="page number"/>
    <w:qFormat/>
    <w:uiPriority w:val="0"/>
  </w:style>
  <w:style w:type="character" w:styleId="18">
    <w:name w:val="Hyperlink"/>
    <w:basedOn w:val="16"/>
    <w:unhideWhenUsed/>
    <w:qFormat/>
    <w:uiPriority w:val="99"/>
    <w:rPr>
      <w:color w:val="0000FF" w:themeColor="hyperlink"/>
      <w:u w:val="single"/>
    </w:rPr>
  </w:style>
  <w:style w:type="character" w:styleId="19">
    <w:name w:val="annotation reference"/>
    <w:qFormat/>
    <w:uiPriority w:val="0"/>
    <w:rPr>
      <w:sz w:val="21"/>
      <w:szCs w:val="21"/>
    </w:rPr>
  </w:style>
  <w:style w:type="character" w:customStyle="1" w:styleId="20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标题 2 字符"/>
    <w:basedOn w:val="16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4">
    <w:name w:val="列出段落 Char"/>
    <w:link w:val="25"/>
    <w:qFormat/>
    <w:uiPriority w:val="34"/>
    <w:rPr>
      <w:rFonts w:ascii="宋体" w:hAnsi="宋体" w:cs="宋体"/>
      <w:sz w:val="24"/>
      <w:szCs w:val="24"/>
    </w:rPr>
  </w:style>
  <w:style w:type="paragraph" w:customStyle="1" w:styleId="25">
    <w:name w:val="列出段落1"/>
    <w:basedOn w:val="1"/>
    <w:link w:val="24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6">
    <w:name w:val="日期 字符"/>
    <w:basedOn w:val="16"/>
    <w:link w:val="6"/>
    <w:semiHidden/>
    <w:qFormat/>
    <w:uiPriority w:val="99"/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9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30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31">
    <w:name w:val="U_编号2"/>
    <w:basedOn w:val="1"/>
    <w:qFormat/>
    <w:uiPriority w:val="0"/>
    <w:pPr>
      <w:numPr>
        <w:ilvl w:val="0"/>
        <w:numId w:val="1"/>
      </w:numPr>
      <w:tabs>
        <w:tab w:val="left" w:pos="927"/>
      </w:tabs>
      <w:spacing w:beforeLines="10" w:afterLines="10" w:line="300" w:lineRule="auto"/>
    </w:pPr>
    <w:rPr>
      <w:sz w:val="24"/>
      <w:szCs w:val="20"/>
    </w:rPr>
  </w:style>
  <w:style w:type="paragraph" w:customStyle="1" w:styleId="32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3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6033</Words>
  <Characters>6464</Characters>
  <Lines>45</Lines>
  <Paragraphs>12</Paragraphs>
  <TotalTime>49</TotalTime>
  <ScaleCrop>false</ScaleCrop>
  <LinksUpToDate>false</LinksUpToDate>
  <CharactersWithSpaces>6624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2024-09-14T09:24:00Z</cp:lastPrinted>
  <dcterms:modified xsi:type="dcterms:W3CDTF">2024-09-18T00:48:30Z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EC3FD689C5D342D799BD160DC760BFDB</vt:lpwstr>
  </property>
</Properties>
</file>