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D2A16E">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p w14:paraId="228C265C">
      <w:pPr>
        <w:pageBreakBefore w:val="0"/>
        <w:kinsoku/>
        <w:wordWrap/>
        <w:overflowPunct/>
        <w:topLinePunct w:val="0"/>
        <w:autoSpaceDE/>
        <w:autoSpaceDN/>
        <w:bidi w:val="0"/>
        <w:spacing w:line="500" w:lineRule="exact"/>
        <w:textAlignment w:val="auto"/>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47171205">
      <w:pPr>
        <w:pStyle w:val="2"/>
        <w:pageBreakBefore w:val="0"/>
        <w:widowControl w:val="0"/>
        <w:numPr>
          <w:ilvl w:val="0"/>
          <w:numId w:val="0"/>
        </w:numPr>
        <w:kinsoku/>
        <w:wordWrap/>
        <w:overflowPunct/>
        <w:topLinePunct w:val="0"/>
        <w:autoSpaceDE/>
        <w:autoSpaceDN/>
        <w:bidi w:val="0"/>
        <w:adjustRightInd w:val="0"/>
        <w:snapToGrid w:val="0"/>
        <w:spacing w:before="0" w:after="0" w:line="500" w:lineRule="exact"/>
        <w:ind w:firstLine="482" w:firstLineChars="200"/>
        <w:jc w:val="both"/>
        <w:textAlignment w:val="auto"/>
        <w:rPr>
          <w:rFonts w:hint="eastAsia" w:asciiTheme="minorEastAsia" w:hAnsiTheme="minorEastAsia" w:eastAsiaTheme="minorEastAsia" w:cstheme="minorEastAsia"/>
          <w:b/>
          <w:bCs/>
          <w:spacing w:val="0"/>
          <w:sz w:val="24"/>
          <w:szCs w:val="24"/>
          <w:lang w:val="en-US" w:eastAsia="zh-CN"/>
        </w:rPr>
      </w:pPr>
      <w:r>
        <w:rPr>
          <w:rFonts w:hint="eastAsia" w:asciiTheme="minorEastAsia" w:hAnsiTheme="minorEastAsia" w:eastAsiaTheme="minorEastAsia" w:cstheme="minorEastAsia"/>
          <w:b/>
          <w:bCs/>
          <w:spacing w:val="0"/>
          <w:sz w:val="24"/>
          <w:szCs w:val="24"/>
          <w:lang w:val="en-US" w:eastAsia="zh-CN"/>
        </w:rPr>
        <w:t>一、项目基本情况</w:t>
      </w:r>
    </w:p>
    <w:p w14:paraId="25027345">
      <w:pPr>
        <w:pageBreakBefore w:val="0"/>
        <w:widowControl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医院一至四楼公共区域墙面均出现不同程度的霉变、油漆脱落等现象，已影响到患者对医院环境的满意度，为进一步深化医院文化建设，推动医院人文服务，促进服务理念转型升级，建议立项采购一至四楼公共区域墙面美化服务项目，结合医院使用场景、宣传需求，制作以IP形象为基础的画面，营造活泼、亲切的儿童友好氛围墙面图画。</w:t>
      </w:r>
    </w:p>
    <w:p w14:paraId="740A4F87">
      <w:pPr>
        <w:pageBreakBefore w:val="0"/>
        <w:widowControl w:val="0"/>
        <w:tabs>
          <w:tab w:val="left" w:pos="1404"/>
        </w:tabs>
        <w:kinsoku/>
        <w:wordWrap/>
        <w:overflowPunct/>
        <w:topLinePunct w:val="0"/>
        <w:autoSpaceDE/>
        <w:autoSpaceDN/>
        <w:bidi w:val="0"/>
        <w:adjustRightInd/>
        <w:snapToGrid/>
        <w:spacing w:line="500" w:lineRule="exact"/>
        <w:ind w:firstLine="482" w:firstLineChars="200"/>
        <w:jc w:val="left"/>
        <w:textAlignment w:val="auto"/>
        <w:outlineLvl w:val="9"/>
        <w:rPr>
          <w:rFonts w:hint="eastAsia" w:asciiTheme="minorEastAsia" w:hAnsiTheme="minorEastAsia" w:eastAsiaTheme="minorEastAsia" w:cstheme="minorEastAsia"/>
          <w:b/>
          <w:bCs/>
          <w:color w:val="auto"/>
          <w:kern w:val="44"/>
          <w:sz w:val="24"/>
          <w:szCs w:val="24"/>
          <w:lang w:val="en-US"/>
        </w:rPr>
      </w:pPr>
      <w:r>
        <w:rPr>
          <w:rFonts w:hint="eastAsia" w:asciiTheme="minorEastAsia" w:hAnsiTheme="minorEastAsia" w:cstheme="minorEastAsia"/>
          <w:b/>
          <w:bCs/>
          <w:color w:val="auto"/>
          <w:kern w:val="44"/>
          <w:sz w:val="24"/>
          <w:szCs w:val="24"/>
          <w:lang w:val="en-US" w:eastAsia="zh-CN"/>
        </w:rPr>
        <w:t>二</w:t>
      </w:r>
      <w:r>
        <w:rPr>
          <w:rFonts w:hint="eastAsia" w:asciiTheme="minorEastAsia" w:hAnsiTheme="minorEastAsia" w:eastAsiaTheme="minorEastAsia" w:cstheme="minorEastAsia"/>
          <w:b/>
          <w:bCs/>
          <w:color w:val="auto"/>
          <w:kern w:val="44"/>
          <w:sz w:val="24"/>
          <w:szCs w:val="24"/>
          <w:lang w:val="en-US"/>
        </w:rPr>
        <w:t>、商务要求</w:t>
      </w:r>
    </w:p>
    <w:p w14:paraId="480D7FE8">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 服务期限：合同签订后 90 个工作日内(具体以签订采购合同为准)。</w:t>
      </w:r>
    </w:p>
    <w:p w14:paraId="23ADC19D">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 服务地点：成都市龙泉驿区妇幼保健院一至四楼公共区域</w:t>
      </w:r>
      <w:r>
        <w:rPr>
          <w:rFonts w:hint="eastAsia" w:asciiTheme="minorEastAsia" w:hAnsiTheme="minorEastAsia" w:eastAsiaTheme="minorEastAsia" w:cstheme="minorEastAsia"/>
          <w:b w:val="0"/>
          <w:color w:val="auto"/>
          <w:kern w:val="44"/>
          <w:sz w:val="24"/>
          <w:szCs w:val="24"/>
          <w:highlight w:val="none"/>
          <w:lang w:val="en-US" w:eastAsia="zh-CN" w:bidi="ar-SA"/>
        </w:rPr>
        <w:t>。</w:t>
      </w:r>
    </w:p>
    <w:p w14:paraId="12F19A22">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 xml:space="preserve">3. 付款方式：设计方案通过审核后，达到付款条件起30日，支付合同总金额的 </w:t>
      </w:r>
      <w:r>
        <w:rPr>
          <w:rFonts w:hint="eastAsia" w:asciiTheme="minorEastAsia" w:hAnsiTheme="minorEastAsia" w:cstheme="minorEastAsia"/>
          <w:b w:val="0"/>
          <w:color w:val="auto"/>
          <w:kern w:val="44"/>
          <w:sz w:val="24"/>
          <w:szCs w:val="24"/>
          <w:highlight w:val="none"/>
          <w:lang w:val="en-US" w:eastAsia="zh-CN" w:bidi="ar-SA"/>
        </w:rPr>
        <w:t xml:space="preserve">50 </w:t>
      </w:r>
      <w:r>
        <w:rPr>
          <w:rFonts w:hint="eastAsia" w:asciiTheme="minorEastAsia" w:hAnsiTheme="minorEastAsia" w:eastAsiaTheme="minorEastAsia" w:cstheme="minorEastAsia"/>
          <w:b w:val="0"/>
          <w:color w:val="auto"/>
          <w:kern w:val="44"/>
          <w:sz w:val="24"/>
          <w:szCs w:val="24"/>
          <w:highlight w:val="none"/>
          <w:lang w:val="en-US" w:eastAsia="zh-CN" w:bidi="ar-SA"/>
        </w:rPr>
        <w:t xml:space="preserve">%，项目实施完成验收合格后，达到付款条件起30日，支付合同总金额的 </w:t>
      </w:r>
      <w:r>
        <w:rPr>
          <w:rFonts w:hint="eastAsia" w:asciiTheme="minorEastAsia" w:hAnsiTheme="minorEastAsia" w:cstheme="minorEastAsia"/>
          <w:b w:val="0"/>
          <w:color w:val="auto"/>
          <w:kern w:val="44"/>
          <w:sz w:val="24"/>
          <w:szCs w:val="24"/>
          <w:highlight w:val="none"/>
          <w:lang w:val="en-US" w:eastAsia="zh-CN" w:bidi="ar-SA"/>
        </w:rPr>
        <w:t>50</w:t>
      </w:r>
      <w:r>
        <w:rPr>
          <w:rFonts w:hint="eastAsia" w:asciiTheme="minorEastAsia" w:hAnsiTheme="minorEastAsia" w:eastAsiaTheme="minorEastAsia" w:cstheme="minorEastAsia"/>
          <w:b w:val="0"/>
          <w:color w:val="auto"/>
          <w:kern w:val="44"/>
          <w:sz w:val="24"/>
          <w:szCs w:val="24"/>
          <w:highlight w:val="none"/>
          <w:lang w:val="en-US" w:eastAsia="zh-CN" w:bidi="ar-SA"/>
        </w:rPr>
        <w:t>%（具体以合同签订为准）。</w:t>
      </w:r>
    </w:p>
    <w:p w14:paraId="3169A7C3">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4. 验收标准：按照《财政部关于进一步加强政府采购需求和履约验收管理的指导意见》（财库〔2016〕205 号）和《政府采购需求管理办法》（财库〔2021〕22 号）的要求、合同约定的标准以及采购人提出的要求进行验收。</w:t>
      </w:r>
    </w:p>
    <w:p w14:paraId="78C0A8D9">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 xml:space="preserve">5.质量保修期 </w:t>
      </w:r>
      <w:r>
        <w:rPr>
          <w:rFonts w:hint="eastAsia" w:asciiTheme="minorEastAsia" w:hAnsiTheme="minorEastAsia" w:cstheme="minorEastAsia"/>
          <w:b w:val="0"/>
          <w:color w:val="auto"/>
          <w:kern w:val="44"/>
          <w:sz w:val="24"/>
          <w:szCs w:val="24"/>
          <w:highlight w:val="none"/>
          <w:lang w:val="en-US" w:eastAsia="zh-CN" w:bidi="ar-SA"/>
        </w:rPr>
        <w:t>2</w:t>
      </w:r>
      <w:r>
        <w:rPr>
          <w:rFonts w:hint="eastAsia" w:asciiTheme="minorEastAsia" w:hAnsiTheme="minorEastAsia" w:eastAsiaTheme="minorEastAsia" w:cstheme="minorEastAsia"/>
          <w:b w:val="0"/>
          <w:color w:val="auto"/>
          <w:kern w:val="44"/>
          <w:sz w:val="24"/>
          <w:szCs w:val="24"/>
          <w:highlight w:val="none"/>
          <w:lang w:val="en-US" w:eastAsia="zh-CN" w:bidi="ar-SA"/>
        </w:rPr>
        <w:t xml:space="preserve"> 年，在质保期内非人为原因损坏应在接到采购人通知后根据实际损坏情况 3-5 日内完成修补。</w:t>
      </w:r>
    </w:p>
    <w:p w14:paraId="56F9DF02">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6.供应商应当遵守国家有关消防、安全、生产操作、劳动保护等方面的规定，并根据自身实际情况和项目履约实际情况，购买涉及上述履约风险的对应保险，在服务过程中发生的安全责任事故由成交人自行承担。</w:t>
      </w:r>
    </w:p>
    <w:p w14:paraId="59174CA7">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7.供应商的设计须为自主创意设计，不得抄袭，若因抄袭或侵权等行为产生的法律后果由成交人自行承担。项目实施前，采购人有权要求成交人在绘画效果图的基础上进行调整，最终须经采购人审核确认，双方无异议后方可实施。</w:t>
      </w:r>
    </w:p>
    <w:p w14:paraId="7A4C44E7">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8. 违约责任：如因成交供应商工作人员在履行职务过程中的的疏忽、失职、过错等故意或者过失原因给采购人造成损失或侵害，包括但不限于采购人本身的财产损失、由此而导致的采购人对任何第三方的法律责任等，成交供应商对此均应承担全部的赔偿责任。</w:t>
      </w:r>
    </w:p>
    <w:p w14:paraId="36C0091F">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其他未尽事宜，由供需双方在签订采购合同时约定。</w:t>
      </w:r>
    </w:p>
    <w:p w14:paraId="356F9C52">
      <w:pPr>
        <w:pageBreakBefore w:val="0"/>
        <w:widowControl w:val="0"/>
        <w:numPr>
          <w:ilvl w:val="0"/>
          <w:numId w:val="0"/>
        </w:numPr>
        <w:kinsoku/>
        <w:wordWrap/>
        <w:overflowPunct/>
        <w:topLinePunct w:val="0"/>
        <w:autoSpaceDE/>
        <w:autoSpaceDN/>
        <w:bidi w:val="0"/>
        <w:adjustRightInd w:val="0"/>
        <w:snapToGrid w:val="0"/>
        <w:spacing w:line="500" w:lineRule="exact"/>
        <w:ind w:firstLine="482" w:firstLineChars="200"/>
        <w:textAlignment w:val="auto"/>
        <w:outlineLvl w:val="1"/>
        <w:rPr>
          <w:rFonts w:hint="eastAsia" w:asciiTheme="minorEastAsia" w:hAnsiTheme="minorEastAsia" w:eastAsiaTheme="minorEastAsia" w:cstheme="minorEastAsia"/>
          <w:b/>
          <w:bCs/>
          <w:kern w:val="44"/>
          <w:sz w:val="24"/>
          <w:szCs w:val="24"/>
          <w:lang w:val="en-US" w:eastAsia="zh-CN" w:bidi="ar-SA"/>
        </w:rPr>
      </w:pPr>
      <w:r>
        <w:rPr>
          <w:rFonts w:hint="eastAsia" w:asciiTheme="minorEastAsia" w:hAnsiTheme="minorEastAsia" w:cstheme="minorEastAsia"/>
          <w:b/>
          <w:bCs/>
          <w:kern w:val="44"/>
          <w:sz w:val="24"/>
          <w:szCs w:val="24"/>
          <w:lang w:val="en-US" w:eastAsia="zh-CN" w:bidi="ar-SA"/>
        </w:rPr>
        <w:t>三</w:t>
      </w:r>
      <w:r>
        <w:rPr>
          <w:rFonts w:hint="eastAsia" w:asciiTheme="minorEastAsia" w:hAnsiTheme="minorEastAsia" w:eastAsiaTheme="minorEastAsia" w:cstheme="minorEastAsia"/>
          <w:b/>
          <w:bCs/>
          <w:kern w:val="44"/>
          <w:sz w:val="24"/>
          <w:szCs w:val="24"/>
          <w:lang w:val="en-US" w:eastAsia="zh-CN" w:bidi="ar-SA"/>
        </w:rPr>
        <w:t>、项目服务内容及要求：</w:t>
      </w:r>
    </w:p>
    <w:p w14:paraId="716E0C27">
      <w:pPr>
        <w:pageBreakBefore w:val="0"/>
        <w:widowControl w:val="0"/>
        <w:kinsoku/>
        <w:wordWrap/>
        <w:overflowPunct/>
        <w:topLinePunct w:val="0"/>
        <w:autoSpaceDE/>
        <w:autoSpaceDN/>
        <w:bidi w:val="0"/>
        <w:adjustRightInd w:val="0"/>
        <w:snapToGrid w:val="0"/>
        <w:spacing w:line="500" w:lineRule="exact"/>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（一）本项目氛围营造服务范围</w:t>
      </w:r>
    </w:p>
    <w:p w14:paraId="671A889D">
      <w:pPr>
        <w:pageBreakBefore w:val="0"/>
        <w:widowControl w:val="0"/>
        <w:tabs>
          <w:tab w:val="left" w:pos="1404"/>
        </w:tabs>
        <w:kinsoku/>
        <w:wordWrap/>
        <w:overflowPunct/>
        <w:topLinePunct w:val="0"/>
        <w:autoSpaceDE/>
        <w:autoSpaceDN/>
        <w:bidi w:val="0"/>
        <w:adjustRightInd/>
        <w:snapToGrid/>
        <w:spacing w:line="500" w:lineRule="exact"/>
        <w:ind w:firstLine="480" w:firstLineChars="200"/>
        <w:jc w:val="left"/>
        <w:textAlignment w:val="auto"/>
        <w:outlineLvl w:val="9"/>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成都市龙泉驿区妇幼保健院一至四楼公共区域墙面（约1200平方米）基础处理、美化设计及制作服务。</w:t>
      </w:r>
      <w:r>
        <w:rPr>
          <w:rFonts w:hint="eastAsia" w:asciiTheme="minorEastAsia" w:hAnsiTheme="minorEastAsia" w:eastAsiaTheme="minorEastAsia" w:cstheme="minorEastAsia"/>
          <w:color w:val="auto"/>
          <w:kern w:val="44"/>
          <w:sz w:val="24"/>
          <w:szCs w:val="24"/>
          <w:highlight w:val="none"/>
          <w:lang w:val="en-US" w:eastAsia="zh-CN"/>
        </w:rPr>
        <w:t>墙面设计方案由供应商自行设计拟定，需围绕医院IP形象、儿童友好元素、实际运用场景等，以达到宣传医院文化，推动医院人文关怀等目的。</w:t>
      </w:r>
    </w:p>
    <w:p w14:paraId="4E96523B">
      <w:pPr>
        <w:pageBreakBefore w:val="0"/>
        <w:numPr>
          <w:ilvl w:val="0"/>
          <w:numId w:val="0"/>
        </w:numPr>
        <w:kinsoku/>
        <w:wordWrap/>
        <w:overflowPunct/>
        <w:topLinePunct w:val="0"/>
        <w:autoSpaceDE/>
        <w:autoSpaceDN/>
        <w:bidi w:val="0"/>
        <w:adjustRightInd w:val="0"/>
        <w:snapToGrid w:val="0"/>
        <w:spacing w:line="500" w:lineRule="exact"/>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（二）服务内容及要求</w:t>
      </w:r>
    </w:p>
    <w:p w14:paraId="41BFF878">
      <w:pPr>
        <w:pageBreakBefore w:val="0"/>
        <w:numPr>
          <w:ilvl w:val="0"/>
          <w:numId w:val="0"/>
        </w:numPr>
        <w:kinsoku/>
        <w:wordWrap/>
        <w:overflowPunct/>
        <w:topLinePunct w:val="0"/>
        <w:autoSpaceDE/>
        <w:autoSpaceDN/>
        <w:bidi w:val="0"/>
        <w:adjustRightInd w:val="0"/>
        <w:snapToGrid w:val="0"/>
        <w:spacing w:line="500" w:lineRule="exact"/>
        <w:ind w:firstLine="240" w:firstLineChars="1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1、主要服务内容</w:t>
      </w:r>
    </w:p>
    <w:p w14:paraId="08E6A8FC">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1.1包含墙面修整、破损修补、基础处理，墙画设计、技术、设计中清单明确的全部实施内容及运行期间的日常维护及安全，并确保实际画面效果；</w:t>
      </w:r>
    </w:p>
    <w:p w14:paraId="5CC549DD">
      <w:pPr>
        <w:keepNext w:val="0"/>
        <w:keepLines w:val="0"/>
        <w:pageBreakBefore w:val="0"/>
        <w:widowControl/>
        <w:suppressLineNumbers w:val="0"/>
        <w:kinsoku/>
        <w:wordWrap/>
        <w:overflowPunct/>
        <w:topLinePunct w:val="0"/>
        <w:autoSpaceDE/>
        <w:autoSpaceDN/>
        <w:bidi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1.2画面内容要求：①符合建设标准及主题，主题鲜明、形象生动、画面饱满、美观、积极向上；②彩绘图案选用：根据相关要求及墙面尺寸，制作墙体彩绘图案；③墙画外观及物理性能兼具，每卷墙画不得有断头及残缺，不得有伤痕皱折气泡；④不应有露底漏印套印精准度偏差，不得有污点，同批次生产不得有色差；⑤保证实际效果还原真实度达到百分之九十以上；</w:t>
      </w:r>
    </w:p>
    <w:p w14:paraId="6E9EA01D">
      <w:pPr>
        <w:keepNext w:val="0"/>
        <w:keepLines w:val="0"/>
        <w:pageBreakBefore w:val="0"/>
        <w:widowControl/>
        <w:suppressLineNumbers w:val="0"/>
        <w:kinsoku/>
        <w:wordWrap/>
        <w:overflowPunct/>
        <w:topLinePunct w:val="0"/>
        <w:autoSpaceDE/>
        <w:autoSpaceDN/>
        <w:bidi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1.3 材料要求：采用符合国家标准，速干、无毒、无味、环保材料。胶粘剂成胶外观均匀无团块胶液，适用期内不变质。</w:t>
      </w:r>
    </w:p>
    <w:p w14:paraId="592E159C">
      <w:pPr>
        <w:keepNext w:val="0"/>
        <w:keepLines w:val="0"/>
        <w:pageBreakBefore w:val="0"/>
        <w:widowControl/>
        <w:suppressLineNumbers w:val="0"/>
        <w:kinsoku/>
        <w:wordWrap/>
        <w:overflowPunct/>
        <w:topLinePunct w:val="0"/>
        <w:autoSpaceDE/>
        <w:autoSpaceDN/>
        <w:bidi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1.4 作业要求：①画面采取两道工艺程序，第一步墙面处理：要求修整墙面，基膜处理，墙画饰面基层需表面清洁，做封底，采用专用墙布胶浆粘贴。第二步画面墙布张贴，保证画面固化保真保色；②铺贴墙画应注意纹理方向一致，同时应使用同批次产品，铺贴完成后应无任何色差现象及于外观看无明显拼缝出现。</w:t>
      </w:r>
    </w:p>
    <w:p w14:paraId="7E570519">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1.5包含所有材料及必备辅材供货、运输、转运、安装、维护、保障运行期安全正常运行；</w:t>
      </w:r>
    </w:p>
    <w:p w14:paraId="55314954">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1.6运行期满后对设施的拆除回收，拆除回收后统一运送至采购人指定地点等与本项目相关的所有服务；</w:t>
      </w:r>
    </w:p>
    <w:p w14:paraId="300EB869">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1.7项目服务期内，供应商对所供材料的质量安全，安装使用（维护）、拆除人身安全，防盗安全负责，运行期内出现非人为损坏、缺失等情况均由成交供应商自行负责增补、更换及维修，采购人不再另行支付相关费用。</w:t>
      </w:r>
    </w:p>
    <w:p w14:paraId="17F2CFDB">
      <w:pPr>
        <w:pageBreakBefore w:val="0"/>
        <w:kinsoku/>
        <w:wordWrap/>
        <w:overflowPunct/>
        <w:topLinePunct w:val="0"/>
        <w:autoSpaceDE/>
        <w:autoSpaceDN/>
        <w:bidi w:val="0"/>
        <w:adjustRightInd w:val="0"/>
        <w:snapToGrid w:val="0"/>
        <w:spacing w:line="500" w:lineRule="exact"/>
        <w:ind w:firstLine="240" w:firstLineChars="1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2、实施要求：</w:t>
      </w:r>
    </w:p>
    <w:p w14:paraId="5C0E1601">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2.1中标项目施工区域上班时间人流量过大首先确保施工区 域内安全，避开人群，施工时间定于 17 点钟之后或夜间施工；并设置彩胶布临时打围，每日施工完成拆除；</w:t>
      </w:r>
    </w:p>
    <w:p w14:paraId="6C1D2169">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2.2 由采购方提供电源接口，并承担电费；成交供应商必须严格科学合理进行使用，不得私搭电线；使用不合格的电子产品等，确保安全用电，严禁一切违规操作，避免火灾，高空坠物等事故发生。</w:t>
      </w:r>
    </w:p>
    <w:p w14:paraId="6744D257">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2.3 所有线材需满足设计和安装要求，符合采购方安全生产管理要求。</w:t>
      </w:r>
    </w:p>
    <w:p w14:paraId="1A6DFF00">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2.4 安全责任承诺：本项目施工过程、维护期、包含后期拆除工作，成交供应商须严格遵守安全文明施工、规范施工，期间任何安全事故及赔偿责任由成交供应商承担。</w:t>
      </w:r>
    </w:p>
    <w:p w14:paraId="30048C91">
      <w:pPr>
        <w:pageBreakBefore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2.5 实施过程中采购人有权对设计内容进行更改，成交供应商不得有异议，采购人不再另行支付费用。</w:t>
      </w:r>
    </w:p>
    <w:p w14:paraId="31A2B0B3">
      <w:pPr>
        <w:pageBreakBefore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2.6 各材料色样需由承包单位于制作前送至业主确认后，方可制作，且提供的材料为全新、符合相关标准的材质。</w:t>
      </w:r>
    </w:p>
    <w:p w14:paraId="568043E9">
      <w:pPr>
        <w:pageBreakBefore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2.7 安装要求：供应商根据采购人实际需求，确定安装位置、安装方式，安装应该符合现行国家标准或行业标准规范的要求，具有可靠性、坚固性和耐久性，能满足采购人使用的需求。</w:t>
      </w:r>
    </w:p>
    <w:p w14:paraId="5792A65D">
      <w:pPr>
        <w:pageBreakBefore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2.8 中标供应商完成项目所需的一切材料、备件等专业工具由供应商负责提供，所涉及的价格包含在投标总价中。</w:t>
      </w:r>
    </w:p>
    <w:p w14:paraId="119D75FD">
      <w:pPr>
        <w:pageBreakBefore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2.9 采购人享有最终成果著作权，中标供应商不得擅自对外发表、出版，确实因学术交流职称评定等需要而要做发表的必须征得采购人书面授权许可，若因此带来的相关法律经济纠纷与采购人无关，中标供应商应自行承担全部法律和经济等相关责任。</w:t>
      </w:r>
    </w:p>
    <w:p w14:paraId="528B46DE">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6E994126">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43C5ECFA">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17E244E1">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0AF0D70A">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023A2E52">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5B5A04A4">
      <w:pPr>
        <w:pStyle w:val="5"/>
        <w:jc w:val="both"/>
        <w:rPr>
          <w:rFonts w:ascii="宋体" w:hAnsi="宋体" w:eastAsia="宋体" w:cs="宋体"/>
          <w:color w:val="000000" w:themeColor="text1"/>
          <w:sz w:val="24"/>
          <w:szCs w:val="24"/>
          <w14:textFill>
            <w14:solidFill>
              <w14:schemeClr w14:val="tx1"/>
            </w14:solidFill>
          </w14:textFill>
        </w:rPr>
      </w:pPr>
      <w:bookmarkStart w:id="2" w:name="_GoBack"/>
      <w:bookmarkEnd w:id="2"/>
    </w:p>
    <w:sectPr>
      <w:footerReference r:id="rId3" w:type="default"/>
      <w:pgSz w:w="11906" w:h="16838"/>
      <w:pgMar w:top="1134" w:right="1123"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CAE46">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0C738861">
                              <w:pPr>
                                <w:pStyle w:val="12"/>
                                <w:jc w:val="right"/>
                              </w:pPr>
                              <w:r>
                                <w:fldChar w:fldCharType="begin"/>
                              </w:r>
                              <w:r>
                                <w:instrText xml:space="preserve"> PAGE   \* MERGEFORMAT </w:instrText>
                              </w:r>
                              <w:r>
                                <w:fldChar w:fldCharType="separate"/>
                              </w:r>
                              <w:r>
                                <w:rPr>
                                  <w:lang w:val="zh-CN"/>
                                </w:rPr>
                                <w:t>4</w:t>
                              </w:r>
                              <w:r>
                                <w:rPr>
                                  <w:lang w:val="zh-CN"/>
                                </w:rPr>
                                <w:fldChar w:fldCharType="end"/>
                              </w:r>
                            </w:p>
                          </w:sdtContent>
                        </w:sdt>
                        <w:p w14:paraId="0962791A">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0C738861">
                        <w:pPr>
                          <w:pStyle w:val="12"/>
                          <w:jc w:val="right"/>
                        </w:pPr>
                        <w:r>
                          <w:fldChar w:fldCharType="begin"/>
                        </w:r>
                        <w:r>
                          <w:instrText xml:space="preserve"> PAGE   \* MERGEFORMAT </w:instrText>
                        </w:r>
                        <w:r>
                          <w:fldChar w:fldCharType="separate"/>
                        </w:r>
                        <w:r>
                          <w:rPr>
                            <w:lang w:val="zh-CN"/>
                          </w:rPr>
                          <w:t>4</w:t>
                        </w:r>
                        <w:r>
                          <w:rPr>
                            <w:lang w:val="zh-CN"/>
                          </w:rPr>
                          <w:fldChar w:fldCharType="end"/>
                        </w:r>
                      </w:p>
                    </w:sdtContent>
                  </w:sdt>
                  <w:p w14:paraId="0962791A">
                    <w:pPr>
                      <w:pStyle w:val="5"/>
                    </w:pPr>
                  </w:p>
                </w:txbxContent>
              </v:textbox>
            </v:shape>
          </w:pict>
        </mc:Fallback>
      </mc:AlternateContent>
    </w:r>
  </w:p>
  <w:p w14:paraId="13CD3D1C">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955DF"/>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4557B19"/>
    <w:rsid w:val="049912AC"/>
    <w:rsid w:val="04C61298"/>
    <w:rsid w:val="05A83606"/>
    <w:rsid w:val="05F62118"/>
    <w:rsid w:val="06281C17"/>
    <w:rsid w:val="06380241"/>
    <w:rsid w:val="069F560A"/>
    <w:rsid w:val="07973EE6"/>
    <w:rsid w:val="07C94BE1"/>
    <w:rsid w:val="07DE6769"/>
    <w:rsid w:val="07E00A0F"/>
    <w:rsid w:val="07E13EFB"/>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2580451"/>
    <w:rsid w:val="137B38DC"/>
    <w:rsid w:val="146B53DF"/>
    <w:rsid w:val="151A349C"/>
    <w:rsid w:val="16AC0EAA"/>
    <w:rsid w:val="16D20FE6"/>
    <w:rsid w:val="17044079"/>
    <w:rsid w:val="17373CEB"/>
    <w:rsid w:val="17500414"/>
    <w:rsid w:val="177D1B56"/>
    <w:rsid w:val="182F4CA9"/>
    <w:rsid w:val="188C4A43"/>
    <w:rsid w:val="195C3707"/>
    <w:rsid w:val="1B040AF0"/>
    <w:rsid w:val="1B7F6894"/>
    <w:rsid w:val="1B811C08"/>
    <w:rsid w:val="1C004A55"/>
    <w:rsid w:val="1DD80BF7"/>
    <w:rsid w:val="1E8B6382"/>
    <w:rsid w:val="1E9268BE"/>
    <w:rsid w:val="1EFB394F"/>
    <w:rsid w:val="2086495D"/>
    <w:rsid w:val="20F56432"/>
    <w:rsid w:val="21012DCF"/>
    <w:rsid w:val="218E2A3A"/>
    <w:rsid w:val="22246CB4"/>
    <w:rsid w:val="23C96556"/>
    <w:rsid w:val="23D504F4"/>
    <w:rsid w:val="23E24D51"/>
    <w:rsid w:val="246F59E3"/>
    <w:rsid w:val="24DA7466"/>
    <w:rsid w:val="256746D6"/>
    <w:rsid w:val="26B72586"/>
    <w:rsid w:val="27807BE0"/>
    <w:rsid w:val="2793010C"/>
    <w:rsid w:val="286F00F7"/>
    <w:rsid w:val="29DA40B8"/>
    <w:rsid w:val="29FD5AAD"/>
    <w:rsid w:val="2B4F2CEF"/>
    <w:rsid w:val="2BBC1282"/>
    <w:rsid w:val="2C723060"/>
    <w:rsid w:val="2CF35149"/>
    <w:rsid w:val="2D2266BD"/>
    <w:rsid w:val="2DC8218D"/>
    <w:rsid w:val="2E102ABB"/>
    <w:rsid w:val="2F5659F3"/>
    <w:rsid w:val="30191AD6"/>
    <w:rsid w:val="30FB7E9E"/>
    <w:rsid w:val="323325C4"/>
    <w:rsid w:val="328B017F"/>
    <w:rsid w:val="3292324B"/>
    <w:rsid w:val="329342B5"/>
    <w:rsid w:val="32C1268D"/>
    <w:rsid w:val="35006E33"/>
    <w:rsid w:val="360B655D"/>
    <w:rsid w:val="3794592A"/>
    <w:rsid w:val="38B05953"/>
    <w:rsid w:val="38B745E0"/>
    <w:rsid w:val="393671C3"/>
    <w:rsid w:val="396067EB"/>
    <w:rsid w:val="39D45C36"/>
    <w:rsid w:val="39FB167E"/>
    <w:rsid w:val="3A1640E8"/>
    <w:rsid w:val="3A8B6411"/>
    <w:rsid w:val="3B9D6276"/>
    <w:rsid w:val="3BFA37AC"/>
    <w:rsid w:val="3C937993"/>
    <w:rsid w:val="3D4663AF"/>
    <w:rsid w:val="3E8576EC"/>
    <w:rsid w:val="3F703160"/>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986527"/>
    <w:rsid w:val="471F4DD5"/>
    <w:rsid w:val="48E65B64"/>
    <w:rsid w:val="490907D4"/>
    <w:rsid w:val="4931425C"/>
    <w:rsid w:val="49974FAF"/>
    <w:rsid w:val="49AC6DDF"/>
    <w:rsid w:val="4A7E1328"/>
    <w:rsid w:val="4B623F21"/>
    <w:rsid w:val="4D744DB2"/>
    <w:rsid w:val="4D7A092A"/>
    <w:rsid w:val="4EBA0170"/>
    <w:rsid w:val="4FBD2120"/>
    <w:rsid w:val="4FD65049"/>
    <w:rsid w:val="503B2047"/>
    <w:rsid w:val="50CB7074"/>
    <w:rsid w:val="511A355D"/>
    <w:rsid w:val="513762CB"/>
    <w:rsid w:val="51950AC2"/>
    <w:rsid w:val="51DB5939"/>
    <w:rsid w:val="53AB2F4B"/>
    <w:rsid w:val="53E94A32"/>
    <w:rsid w:val="55B5596C"/>
    <w:rsid w:val="56D02305"/>
    <w:rsid w:val="56D145E5"/>
    <w:rsid w:val="57003156"/>
    <w:rsid w:val="58885FE0"/>
    <w:rsid w:val="59934FFE"/>
    <w:rsid w:val="59A61C5F"/>
    <w:rsid w:val="59D75EB0"/>
    <w:rsid w:val="5A2F5580"/>
    <w:rsid w:val="5A493582"/>
    <w:rsid w:val="5A7E7600"/>
    <w:rsid w:val="5AAD0A57"/>
    <w:rsid w:val="5BB61575"/>
    <w:rsid w:val="5D1024FF"/>
    <w:rsid w:val="5DA31586"/>
    <w:rsid w:val="5DBD70E7"/>
    <w:rsid w:val="5EA6596C"/>
    <w:rsid w:val="5ED65EE2"/>
    <w:rsid w:val="5F141197"/>
    <w:rsid w:val="6066691B"/>
    <w:rsid w:val="61F31C9B"/>
    <w:rsid w:val="62146F60"/>
    <w:rsid w:val="62F2388B"/>
    <w:rsid w:val="637B3DE7"/>
    <w:rsid w:val="63934138"/>
    <w:rsid w:val="63DB63D1"/>
    <w:rsid w:val="65E158A6"/>
    <w:rsid w:val="688846EF"/>
    <w:rsid w:val="68E06C2C"/>
    <w:rsid w:val="68ED4DB7"/>
    <w:rsid w:val="68FD23E4"/>
    <w:rsid w:val="69B42AF7"/>
    <w:rsid w:val="69E41B3B"/>
    <w:rsid w:val="6B4E5B09"/>
    <w:rsid w:val="6BBB0CC6"/>
    <w:rsid w:val="6C4838F4"/>
    <w:rsid w:val="6E582E85"/>
    <w:rsid w:val="6EB1235D"/>
    <w:rsid w:val="6F520277"/>
    <w:rsid w:val="6F9B6713"/>
    <w:rsid w:val="6FCB75A0"/>
    <w:rsid w:val="70BF5C7A"/>
    <w:rsid w:val="70DF1AC2"/>
    <w:rsid w:val="729A42C4"/>
    <w:rsid w:val="731E7004"/>
    <w:rsid w:val="73535858"/>
    <w:rsid w:val="73B97203"/>
    <w:rsid w:val="73BD7DF0"/>
    <w:rsid w:val="743215EF"/>
    <w:rsid w:val="75CD0D5C"/>
    <w:rsid w:val="764E0276"/>
    <w:rsid w:val="7807665E"/>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Plain Text"/>
    <w:basedOn w:val="1"/>
    <w:qFormat/>
    <w:uiPriority w:val="0"/>
    <w:pPr>
      <w:autoSpaceDE w:val="0"/>
      <w:autoSpaceDN w:val="0"/>
      <w:adjustRightInd w:val="0"/>
    </w:pPr>
    <w:rPr>
      <w:rFonts w:ascii="宋体" w:hAnsi="Tms Rmn"/>
      <w:kern w:val="0"/>
      <w:szCs w:val="20"/>
    </w:rPr>
  </w:style>
  <w:style w:type="paragraph" w:styleId="8">
    <w:name w:val="Date"/>
    <w:basedOn w:val="1"/>
    <w:next w:val="1"/>
    <w:semiHidden/>
    <w:unhideWhenUsed/>
    <w:qFormat/>
    <w:uiPriority w:val="99"/>
    <w:pPr>
      <w:ind w:left="100" w:leftChars="2500"/>
    </w:pPr>
  </w:style>
  <w:style w:type="paragraph" w:styleId="9">
    <w:name w:val="Body Text Indent 2"/>
    <w:basedOn w:val="1"/>
    <w:next w:val="10"/>
    <w:qFormat/>
    <w:uiPriority w:val="0"/>
    <w:pPr>
      <w:spacing w:line="500" w:lineRule="atLeast"/>
      <w:ind w:left="43" w:leftChars="43" w:firstLine="720" w:firstLineChars="200"/>
      <w:outlineLvl w:val="0"/>
    </w:pPr>
    <w:rPr>
      <w:rFonts w:hint="eastAsia" w:ascii="仿宋_GB2312" w:hAnsi="Times New Roman"/>
      <w:sz w:val="36"/>
    </w:rPr>
  </w:style>
  <w:style w:type="paragraph" w:customStyle="1" w:styleId="10">
    <w:name w:val="z正文"/>
    <w:basedOn w:val="7"/>
    <w:qFormat/>
    <w:uiPriority w:val="99"/>
    <w:pPr>
      <w:tabs>
        <w:tab w:val="left" w:pos="525"/>
      </w:tabs>
      <w:snapToGrid w:val="0"/>
      <w:spacing w:line="360" w:lineRule="auto"/>
    </w:pPr>
    <w:rPr>
      <w:rFonts w:hAnsi="宋体"/>
      <w:sz w:val="24"/>
    </w:rPr>
  </w:style>
  <w:style w:type="paragraph" w:styleId="11">
    <w:name w:val="Balloon Text"/>
    <w:basedOn w:val="1"/>
    <w:link w:val="30"/>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table of figures"/>
    <w:basedOn w:val="1"/>
    <w:next w:val="1"/>
    <w:unhideWhenUsed/>
    <w:qFormat/>
    <w:uiPriority w:val="99"/>
    <w:pPr>
      <w:ind w:left="200" w:leftChars="200" w:hanging="200" w:hangingChars="200"/>
    </w:pPr>
  </w:style>
  <w:style w:type="paragraph" w:styleId="16">
    <w:name w:val="Normal (Web)"/>
    <w:basedOn w:val="1"/>
    <w:semiHidden/>
    <w:unhideWhenUsed/>
    <w:qFormat/>
    <w:uiPriority w:val="99"/>
    <w:pPr>
      <w:spacing w:beforeAutospacing="1" w:afterAutospacing="1"/>
      <w:jc w:val="left"/>
    </w:pPr>
    <w:rPr>
      <w:rFonts w:cs="Times New Roman"/>
      <w:kern w:val="0"/>
      <w:sz w:val="24"/>
    </w:rPr>
  </w:style>
  <w:style w:type="paragraph" w:styleId="17">
    <w:name w:val="Body Text First Indent"/>
    <w:basedOn w:val="5"/>
    <w:next w:val="9"/>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character" w:customStyle="1" w:styleId="24">
    <w:name w:val="页眉 字符"/>
    <w:basedOn w:val="20"/>
    <w:link w:val="13"/>
    <w:qFormat/>
    <w:uiPriority w:val="99"/>
    <w:rPr>
      <w:sz w:val="18"/>
      <w:szCs w:val="18"/>
    </w:rPr>
  </w:style>
  <w:style w:type="character" w:customStyle="1" w:styleId="25">
    <w:name w:val="页脚 字符"/>
    <w:basedOn w:val="20"/>
    <w:link w:val="12"/>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20"/>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20"/>
    <w:link w:val="11"/>
    <w:semiHidden/>
    <w:qFormat/>
    <w:uiPriority w:val="99"/>
    <w:rPr>
      <w:sz w:val="18"/>
      <w:szCs w:val="18"/>
    </w:rPr>
  </w:style>
  <w:style w:type="character" w:customStyle="1" w:styleId="31">
    <w:name w:val="font11"/>
    <w:basedOn w:val="20"/>
    <w:qFormat/>
    <w:uiPriority w:val="0"/>
    <w:rPr>
      <w:rFonts w:hint="eastAsia" w:ascii="宋体" w:hAnsi="宋体" w:eastAsia="宋体" w:cs="宋体"/>
      <w:color w:val="000000"/>
      <w:sz w:val="21"/>
      <w:szCs w:val="21"/>
      <w:u w:val="none"/>
    </w:rPr>
  </w:style>
  <w:style w:type="character" w:customStyle="1" w:styleId="32">
    <w:name w:val="font01"/>
    <w:basedOn w:val="20"/>
    <w:qFormat/>
    <w:uiPriority w:val="0"/>
    <w:rPr>
      <w:rFonts w:ascii="Calibri" w:hAnsi="Calibri" w:cs="Calibri"/>
      <w:color w:val="000000"/>
      <w:sz w:val="21"/>
      <w:szCs w:val="21"/>
      <w:u w:val="none"/>
    </w:rPr>
  </w:style>
  <w:style w:type="paragraph" w:customStyle="1" w:styleId="33">
    <w:name w:val="标题 5（有编号）（绿盟科技）"/>
    <w:basedOn w:val="1"/>
    <w:next w:val="34"/>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4">
    <w:name w:val="正文（绿盟科技）"/>
    <w:qFormat/>
    <w:uiPriority w:val="0"/>
    <w:pPr>
      <w:spacing w:line="300" w:lineRule="auto"/>
    </w:pPr>
    <w:rPr>
      <w:rFonts w:ascii="Arial" w:hAnsi="Arial" w:eastAsia="宋体" w:cs="黑体"/>
      <w:kern w:val="0"/>
      <w:sz w:val="21"/>
      <w:szCs w:val="21"/>
      <w:lang w:val="en-US" w:eastAsia="zh-CN" w:bidi="ar-SA"/>
    </w:rPr>
  </w:style>
  <w:style w:type="paragraph" w:customStyle="1" w:styleId="3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5246</Words>
  <Characters>5517</Characters>
  <Lines>26</Lines>
  <Paragraphs>7</Paragraphs>
  <TotalTime>2</TotalTime>
  <ScaleCrop>false</ScaleCrop>
  <LinksUpToDate>false</LinksUpToDate>
  <CharactersWithSpaces>5594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2024-09-18T08:56:00Z</cp:lastPrinted>
  <dcterms:modified xsi:type="dcterms:W3CDTF">2024-09-20T04:15:21Z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FB71963BD81A4A17B0C7856BB4632F67_13</vt:lpwstr>
  </property>
  <property fmtid="{D5CDD505-2E9C-101B-9397-08002B2CF9AE}" pid="4" name="commondata">
    <vt:lpwstr>eyJoZGlkIjoiNGFhNjBkNjkwYzVkMGJlYjhkODdmZTMyNDY5NTA5YWUifQ==</vt:lpwstr>
  </property>
</Properties>
</file>