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902B10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szCs w:val="22"/>
          <w:lang w:eastAsia="zh-CN"/>
          <w14:textFill>
            <w14:solidFill>
              <w14:schemeClr w14:val="tx1"/>
            </w14:solidFill>
          </w14:textFill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  <w:t>综合评分明细表</w:t>
      </w:r>
    </w:p>
    <w:tbl>
      <w:tblPr>
        <w:tblStyle w:val="18"/>
        <w:tblW w:w="9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300"/>
        <w:gridCol w:w="1269"/>
        <w:gridCol w:w="5323"/>
        <w:gridCol w:w="930"/>
      </w:tblGrid>
      <w:tr w14:paraId="381F6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55" w:type="dxa"/>
            <w:noWrap w:val="0"/>
            <w:vAlign w:val="center"/>
          </w:tcPr>
          <w:p w14:paraId="1CE17279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300" w:type="dxa"/>
            <w:noWrap w:val="0"/>
            <w:vAlign w:val="center"/>
          </w:tcPr>
          <w:p w14:paraId="7C53836C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评分因素</w:t>
            </w:r>
          </w:p>
          <w:p w14:paraId="6DC75C13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及权重</w:t>
            </w:r>
          </w:p>
        </w:tc>
        <w:tc>
          <w:tcPr>
            <w:tcW w:w="1269" w:type="dxa"/>
            <w:noWrap w:val="0"/>
            <w:vAlign w:val="center"/>
          </w:tcPr>
          <w:p w14:paraId="69AA967D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分　值</w:t>
            </w:r>
          </w:p>
        </w:tc>
        <w:tc>
          <w:tcPr>
            <w:tcW w:w="5323" w:type="dxa"/>
            <w:noWrap w:val="0"/>
            <w:vAlign w:val="center"/>
          </w:tcPr>
          <w:p w14:paraId="77BEBD2E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评分标准</w:t>
            </w:r>
          </w:p>
        </w:tc>
        <w:tc>
          <w:tcPr>
            <w:tcW w:w="930" w:type="dxa"/>
            <w:noWrap w:val="0"/>
            <w:vAlign w:val="center"/>
          </w:tcPr>
          <w:p w14:paraId="6A36D458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备注</w:t>
            </w:r>
          </w:p>
        </w:tc>
      </w:tr>
      <w:tr w14:paraId="2352A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755" w:type="dxa"/>
            <w:noWrap w:val="0"/>
            <w:vAlign w:val="center"/>
          </w:tcPr>
          <w:p w14:paraId="739CCE88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300" w:type="dxa"/>
            <w:noWrap w:val="0"/>
            <w:vAlign w:val="center"/>
          </w:tcPr>
          <w:p w14:paraId="674BF452">
            <w:pPr>
              <w:widowControl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报价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%)</w:t>
            </w:r>
          </w:p>
        </w:tc>
        <w:tc>
          <w:tcPr>
            <w:tcW w:w="1269" w:type="dxa"/>
            <w:noWrap w:val="0"/>
            <w:vAlign w:val="center"/>
          </w:tcPr>
          <w:p w14:paraId="047EBD50">
            <w:pPr>
              <w:widowControl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13CFB961">
            <w:pPr>
              <w:widowControl/>
              <w:spacing w:before="0" w:line="276" w:lineRule="auto"/>
              <w:ind w:left="0" w:right="0" w:firstLine="420"/>
              <w:jc w:val="left"/>
              <w:rPr>
                <w:rFonts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ascii="Times New Roman" w:hAnsi="Times New Roman" w:eastAsia="方正仿宋_GBK" w:cs="Times New Roman"/>
                <w:spacing w:val="0"/>
                <w:sz w:val="21"/>
                <w:szCs w:val="21"/>
              </w:rPr>
              <w:t>以本次有效的最低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报价为基准价，报价得分=(</w:t>
            </w:r>
            <w:r>
              <w:rPr>
                <w:rFonts w:ascii="Times New Roman" w:hAnsi="Times New Roman" w:eastAsia="方正仿宋_GBK" w:cs="Times New Roman"/>
                <w:spacing w:val="0"/>
                <w:sz w:val="21"/>
                <w:szCs w:val="21"/>
              </w:rPr>
              <w:t>基准价／最后报价)×</w:t>
            </w:r>
            <w:r>
              <w:rPr>
                <w:rFonts w:hint="eastAsia" w:ascii="Times New Roman" w:hAnsi="Times New Roman" w:eastAsia="方正仿宋_GBK" w:cs="Times New Roman"/>
                <w:spacing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Times New Roman" w:hAnsi="Times New Roman" w:eastAsia="方正仿宋_GBK" w:cs="Times New Roman"/>
                <w:spacing w:val="0"/>
                <w:sz w:val="21"/>
                <w:szCs w:val="21"/>
              </w:rPr>
              <w:t>×100%。</w:t>
            </w:r>
          </w:p>
          <w:p w14:paraId="1F35F971">
            <w:pPr>
              <w:widowControl/>
              <w:spacing w:line="276" w:lineRule="auto"/>
              <w:ind w:firstLine="420" w:firstLineChars="0"/>
              <w:jc w:val="left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注：投标人的报价明显低于其他通过符合性审查投标人的报价，有可能影响产品质量或者不能诚信履约的，应当要求其在评标现场合理的时间内提供书面说明，必要时提交相关材料投标人不能证明其报价合理性的，评标委员会应当将其作为无效投标处理。</w:t>
            </w:r>
          </w:p>
        </w:tc>
        <w:tc>
          <w:tcPr>
            <w:tcW w:w="930" w:type="dxa"/>
            <w:noWrap w:val="0"/>
            <w:vAlign w:val="center"/>
          </w:tcPr>
          <w:p w14:paraId="08A60624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 w14:paraId="560CA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55" w:type="dxa"/>
            <w:noWrap w:val="0"/>
            <w:vAlign w:val="center"/>
          </w:tcPr>
          <w:p w14:paraId="524ABBAB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300" w:type="dxa"/>
            <w:noWrap w:val="0"/>
            <w:vAlign w:val="center"/>
          </w:tcPr>
          <w:p w14:paraId="54B91DA8">
            <w:pPr>
              <w:spacing w:line="264" w:lineRule="auto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设计方案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0%）</w:t>
            </w:r>
          </w:p>
          <w:p w14:paraId="5A6FB97A">
            <w:pPr>
              <w:spacing w:line="264" w:lineRule="auto"/>
              <w:ind w:firstLine="420" w:firstLine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1269" w:type="dxa"/>
            <w:noWrap w:val="0"/>
            <w:vAlign w:val="center"/>
          </w:tcPr>
          <w:p w14:paraId="03CBF044"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0分</w:t>
            </w:r>
          </w:p>
        </w:tc>
        <w:tc>
          <w:tcPr>
            <w:tcW w:w="5323" w:type="dxa"/>
            <w:noWrap w:val="0"/>
            <w:vAlign w:val="center"/>
          </w:tcPr>
          <w:p w14:paraId="0EBB953A">
            <w:pPr>
              <w:widowControl/>
              <w:ind w:firstLine="0"/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设计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方案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需具有创新性、观赏性、艺术性和实用性，具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有较大的传播力，深度契合龙泉驿区妇幼保健院的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儿童友好形象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熟悉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医院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IP形象、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妇幼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健康服务文化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创意及传播特点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根据设计方案进行评价。</w:t>
            </w:r>
          </w:p>
          <w:p w14:paraId="5C60A181">
            <w:pPr>
              <w:widowControl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①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设计理念、方案齐全；能全面体现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医院儿童友好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理念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设计合理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结合医院IP形象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；具有很强的可实施性的得4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分。</w:t>
            </w:r>
          </w:p>
          <w:p w14:paraId="09CB87D0">
            <w:pPr>
              <w:widowControl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②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设计理念、方案齐全；设计一般；具有可实施性的得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-40分；</w:t>
            </w:r>
          </w:p>
          <w:p w14:paraId="4DF75F82">
            <w:pPr>
              <w:widowControl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③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设计方案不齐全、不能体现理念、设计合理实施性一般得0-2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分；</w:t>
            </w:r>
          </w:p>
          <w:p w14:paraId="15ACCF4A">
            <w:pPr>
              <w:widowControl/>
              <w:ind w:firstLine="0" w:firstLineChars="0"/>
              <w:jc w:val="left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④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不提供0分。</w:t>
            </w:r>
          </w:p>
        </w:tc>
        <w:tc>
          <w:tcPr>
            <w:tcW w:w="930" w:type="dxa"/>
            <w:noWrap w:val="0"/>
            <w:vAlign w:val="center"/>
          </w:tcPr>
          <w:p w14:paraId="5841ED6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供应商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需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提供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设计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PPT电子文件（密封提交）、画布材质，需详细说明，无需现场阐述。</w:t>
            </w:r>
          </w:p>
        </w:tc>
      </w:tr>
      <w:tr w14:paraId="4DC99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55" w:type="dxa"/>
            <w:noWrap w:val="0"/>
            <w:vAlign w:val="center"/>
          </w:tcPr>
          <w:p w14:paraId="1CB829EA">
            <w:pPr>
              <w:spacing w:line="360" w:lineRule="auto"/>
              <w:ind w:firstLine="28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300" w:type="dxa"/>
            <w:noWrap w:val="0"/>
            <w:vAlign w:val="center"/>
          </w:tcPr>
          <w:p w14:paraId="43E6025A"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项目实施方案（24%）</w:t>
            </w:r>
          </w:p>
        </w:tc>
        <w:tc>
          <w:tcPr>
            <w:tcW w:w="1269" w:type="dxa"/>
            <w:noWrap w:val="0"/>
            <w:vAlign w:val="center"/>
          </w:tcPr>
          <w:p w14:paraId="1EA72489"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24分</w:t>
            </w:r>
          </w:p>
        </w:tc>
        <w:tc>
          <w:tcPr>
            <w:tcW w:w="5323" w:type="dxa"/>
            <w:noWrap w:val="0"/>
            <w:vAlign w:val="center"/>
          </w:tcPr>
          <w:p w14:paraId="5F8675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根据供应商提供的项目实施方案进行评审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该方案应包含：①项目实施计划、②具体实施内容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及方案、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③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质量保障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方案、④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墙画画面维护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方案、⑤安全保护措施、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⑥进度保障方案。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完整提供上述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项内容的得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分；每有一项未提供扣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分，扣完为止；每有一处有缺陷扣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分，扣完为止。</w:t>
            </w:r>
          </w:p>
          <w:p w14:paraId="5AB6A4A9">
            <w:pPr>
              <w:spacing w:after="78" w:afterLines="25"/>
              <w:ind w:firstLine="0" w:firstLineChars="0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</w:p>
        </w:tc>
        <w:tc>
          <w:tcPr>
            <w:tcW w:w="930" w:type="dxa"/>
            <w:noWrap w:val="0"/>
            <w:vAlign w:val="center"/>
          </w:tcPr>
          <w:p w14:paraId="60A89FD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30C8C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55" w:type="dxa"/>
            <w:noWrap w:val="0"/>
            <w:vAlign w:val="center"/>
          </w:tcPr>
          <w:p w14:paraId="0A2533B8">
            <w:pPr>
              <w:spacing w:line="360" w:lineRule="auto"/>
              <w:ind w:firstLine="28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300" w:type="dxa"/>
            <w:noWrap w:val="0"/>
            <w:vAlign w:val="center"/>
          </w:tcPr>
          <w:p w14:paraId="13046B7D"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售后服务方案</w:t>
            </w:r>
          </w:p>
        </w:tc>
        <w:tc>
          <w:tcPr>
            <w:tcW w:w="1269" w:type="dxa"/>
            <w:noWrap w:val="0"/>
            <w:vAlign w:val="center"/>
          </w:tcPr>
          <w:p w14:paraId="712E2F7B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>8分</w:t>
            </w:r>
          </w:p>
        </w:tc>
        <w:tc>
          <w:tcPr>
            <w:tcW w:w="5323" w:type="dxa"/>
            <w:noWrap w:val="0"/>
            <w:vAlign w:val="center"/>
          </w:tcPr>
          <w:p w14:paraId="56F34DBC">
            <w:pPr>
              <w:widowControl/>
              <w:spacing w:line="360" w:lineRule="exact"/>
              <w:ind w:firstLine="0" w:firstLineChars="0"/>
              <w:jc w:val="left"/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供应商结合项目需求实际情况，提供切实可行的售后服务方案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包括以下内容：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①售后服务保障措施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②应急故障处理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方案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③售后服务人员组成结构和数量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④维修服务点及电话等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。</w:t>
            </w:r>
          </w:p>
          <w:p w14:paraId="655C5A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完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整提供上述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项内容的得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分；每有一项未提供扣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分，扣完为止；每有一处有缺陷扣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分，扣完为止。</w:t>
            </w:r>
          </w:p>
          <w:p w14:paraId="14497508">
            <w:pPr>
              <w:spacing w:after="78" w:afterLines="25"/>
              <w:ind w:firstLine="0" w:firstLineChars="0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</w:p>
        </w:tc>
        <w:tc>
          <w:tcPr>
            <w:tcW w:w="930" w:type="dxa"/>
            <w:noWrap w:val="0"/>
            <w:vAlign w:val="center"/>
          </w:tcPr>
          <w:p w14:paraId="2A53C56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7348D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55" w:type="dxa"/>
            <w:noWrap w:val="0"/>
            <w:vAlign w:val="center"/>
          </w:tcPr>
          <w:p w14:paraId="638C34F6">
            <w:pPr>
              <w:spacing w:line="360" w:lineRule="auto"/>
              <w:ind w:firstLine="28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300" w:type="dxa"/>
            <w:noWrap w:val="0"/>
            <w:vAlign w:val="center"/>
          </w:tcPr>
          <w:p w14:paraId="46AC22DC">
            <w:pPr>
              <w:widowControl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履约能力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%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269" w:type="dxa"/>
            <w:noWrap w:val="0"/>
            <w:vAlign w:val="center"/>
          </w:tcPr>
          <w:p w14:paraId="59BE6865">
            <w:pPr>
              <w:widowControl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76D481B1">
            <w:pPr>
              <w:widowControl/>
              <w:spacing w:after="0" w:afterLines="-2147483648" w:line="360" w:lineRule="exact"/>
              <w:ind w:firstLine="0"/>
              <w:jc w:val="left"/>
              <w:textAlignment w:val="auto"/>
              <w:rPr>
                <w:rFonts w:hint="eastAsia" w:ascii="仿宋" w:hAnsi="仿宋" w:eastAsia="仿宋" w:cstheme="minorBidi"/>
                <w:color w:val="000000"/>
                <w:sz w:val="21"/>
                <w:szCs w:val="21"/>
                <w:lang w:val="zh-TW"/>
              </w:rPr>
            </w:pPr>
            <w:r>
              <w:rPr>
                <w:rFonts w:hint="eastAsia" w:ascii="仿宋" w:hAnsi="仿宋" w:eastAsia="仿宋" w:cstheme="minorBidi"/>
                <w:color w:val="000000"/>
                <w:sz w:val="21"/>
                <w:szCs w:val="21"/>
              </w:rPr>
              <w:t>供应商</w:t>
            </w:r>
            <w:r>
              <w:rPr>
                <w:rFonts w:hint="eastAsia" w:ascii="仿宋" w:hAnsi="仿宋" w:eastAsia="仿宋" w:cstheme="minorBidi"/>
                <w:color w:val="000000"/>
                <w:sz w:val="21"/>
                <w:szCs w:val="21"/>
                <w:lang w:val="zh-TW"/>
              </w:rPr>
              <w:t>提供</w:t>
            </w:r>
            <w:r>
              <w:rPr>
                <w:rFonts w:hint="eastAsia" w:ascii="仿宋" w:hAnsi="仿宋" w:eastAsia="仿宋" w:cstheme="minorBidi"/>
                <w:color w:val="000000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theme="minorBidi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theme="minorBidi"/>
                <w:color w:val="000000"/>
                <w:sz w:val="21"/>
                <w:szCs w:val="21"/>
                <w:lang w:val="zh-TW"/>
              </w:rPr>
              <w:t>年</w:t>
            </w:r>
            <w:r>
              <w:rPr>
                <w:rFonts w:hint="eastAsia" w:ascii="仿宋" w:hAnsi="仿宋" w:eastAsia="仿宋" w:cstheme="minorBidi"/>
                <w:color w:val="000000"/>
                <w:sz w:val="21"/>
                <w:szCs w:val="21"/>
                <w:lang w:val="en-US" w:eastAsia="zh-CN"/>
              </w:rPr>
              <w:t>1月1日</w:t>
            </w:r>
            <w:r>
              <w:rPr>
                <w:rFonts w:hint="eastAsia" w:ascii="仿宋" w:hAnsi="仿宋" w:eastAsia="仿宋" w:cstheme="minorBidi"/>
                <w:color w:val="000000"/>
                <w:sz w:val="21"/>
                <w:szCs w:val="21"/>
                <w:lang w:val="zh-TW"/>
              </w:rPr>
              <w:t>至今</w:t>
            </w:r>
            <w:r>
              <w:rPr>
                <w:rFonts w:hint="eastAsia" w:ascii="仿宋" w:hAnsi="仿宋" w:eastAsia="仿宋" w:cstheme="minorBidi"/>
                <w:color w:val="000000"/>
                <w:sz w:val="21"/>
                <w:szCs w:val="21"/>
                <w:lang w:val="en-US" w:eastAsia="zh-CN"/>
              </w:rPr>
              <w:t>同类项目</w:t>
            </w:r>
            <w:r>
              <w:rPr>
                <w:rFonts w:hint="eastAsia" w:ascii="仿宋" w:hAnsi="仿宋" w:eastAsia="仿宋" w:cstheme="minorBidi"/>
                <w:color w:val="000000"/>
                <w:sz w:val="21"/>
                <w:szCs w:val="21"/>
              </w:rPr>
              <w:t>业绩证明，每提供</w:t>
            </w:r>
            <w:r>
              <w:rPr>
                <w:rFonts w:hint="eastAsia" w:ascii="仿宋" w:hAnsi="仿宋" w:eastAsia="仿宋" w:cstheme="minorBidi"/>
                <w:color w:val="000000"/>
                <w:sz w:val="21"/>
                <w:szCs w:val="21"/>
                <w:lang w:val="zh-TW"/>
              </w:rPr>
              <w:t>1</w:t>
            </w:r>
            <w:r>
              <w:rPr>
                <w:rFonts w:hint="eastAsia" w:ascii="仿宋" w:hAnsi="仿宋" w:eastAsia="仿宋" w:cstheme="minorBidi"/>
                <w:color w:val="000000"/>
                <w:sz w:val="21"/>
                <w:szCs w:val="21"/>
                <w:lang w:val="en-US" w:eastAsia="zh-CN"/>
              </w:rPr>
              <w:t>个</w:t>
            </w:r>
            <w:r>
              <w:rPr>
                <w:rFonts w:hint="eastAsia" w:ascii="仿宋" w:hAnsi="仿宋" w:eastAsia="仿宋" w:cstheme="minorBidi"/>
                <w:color w:val="000000"/>
                <w:sz w:val="21"/>
                <w:szCs w:val="21"/>
                <w:lang w:val="zh-TW"/>
              </w:rPr>
              <w:t>得</w:t>
            </w:r>
            <w:r>
              <w:rPr>
                <w:rFonts w:hint="eastAsia" w:ascii="仿宋" w:hAnsi="仿宋" w:eastAsia="仿宋" w:cstheme="minorBidi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theme="minorBidi"/>
                <w:color w:val="000000"/>
                <w:sz w:val="21"/>
                <w:szCs w:val="21"/>
                <w:lang w:val="zh-TW"/>
              </w:rPr>
              <w:t>分，</w:t>
            </w:r>
            <w:r>
              <w:rPr>
                <w:rFonts w:hint="eastAsia" w:ascii="仿宋" w:hAnsi="仿宋" w:eastAsia="仿宋" w:cstheme="minorBidi"/>
                <w:color w:val="000000"/>
                <w:sz w:val="21"/>
                <w:szCs w:val="21"/>
              </w:rPr>
              <w:t>最高</w:t>
            </w:r>
            <w:r>
              <w:rPr>
                <w:rFonts w:hint="eastAsia" w:ascii="仿宋" w:hAnsi="仿宋" w:eastAsia="仿宋" w:cstheme="minorBidi"/>
                <w:color w:val="000000"/>
                <w:sz w:val="21"/>
                <w:szCs w:val="21"/>
                <w:lang w:val="zh-TW"/>
              </w:rPr>
              <w:t>得</w:t>
            </w:r>
            <w:r>
              <w:rPr>
                <w:rFonts w:hint="eastAsia" w:ascii="仿宋" w:hAnsi="仿宋" w:eastAsia="仿宋" w:cstheme="minorBidi"/>
                <w:color w:val="00000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theme="minorBidi"/>
                <w:color w:val="000000"/>
                <w:sz w:val="21"/>
                <w:szCs w:val="21"/>
                <w:lang w:val="zh-TW"/>
              </w:rPr>
              <w:t>分。</w:t>
            </w:r>
          </w:p>
          <w:p w14:paraId="7709FFFC">
            <w:pPr>
              <w:widowControl/>
              <w:spacing w:after="0" w:afterLines="-2147483648" w:line="36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theme="minorBidi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theme="minorBidi"/>
                <w:color w:val="000000"/>
                <w:sz w:val="21"/>
                <w:szCs w:val="21"/>
              </w:rPr>
              <w:t>注：提供中标通知书、合同复印件加盖供应商公章。</w:t>
            </w:r>
          </w:p>
        </w:tc>
        <w:tc>
          <w:tcPr>
            <w:tcW w:w="930" w:type="dxa"/>
            <w:noWrap w:val="0"/>
            <w:vAlign w:val="center"/>
          </w:tcPr>
          <w:p w14:paraId="047AB60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</w:tbl>
    <w:p w14:paraId="5B5A04A4">
      <w:pPr>
        <w:pStyle w:val="5"/>
        <w:jc w:val="both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2" w:name="_GoBack"/>
      <w:bookmarkEnd w:id="2"/>
    </w:p>
    <w:sectPr>
      <w:footerReference r:id="rId3" w:type="default"/>
      <w:pgSz w:w="11906" w:h="16838"/>
      <w:pgMar w:top="1134" w:right="1123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5CAE46">
    <w:pPr>
      <w:pStyle w:val="1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0C738861">
                              <w:pPr>
                                <w:pStyle w:val="12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0962791A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0C738861">
                        <w:pPr>
                          <w:pStyle w:val="12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0962791A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  <w:p w14:paraId="13CD3D1C">
    <w:pPr>
      <w:pStyle w:val="1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4557B19"/>
    <w:rsid w:val="049912AC"/>
    <w:rsid w:val="04C61298"/>
    <w:rsid w:val="05A83606"/>
    <w:rsid w:val="05F62118"/>
    <w:rsid w:val="06281C17"/>
    <w:rsid w:val="06380241"/>
    <w:rsid w:val="069F560A"/>
    <w:rsid w:val="07973EE6"/>
    <w:rsid w:val="07C94BE1"/>
    <w:rsid w:val="07DE6769"/>
    <w:rsid w:val="07E00A0F"/>
    <w:rsid w:val="07E13EFB"/>
    <w:rsid w:val="087F78BA"/>
    <w:rsid w:val="095A6A56"/>
    <w:rsid w:val="09CA2C87"/>
    <w:rsid w:val="09E54036"/>
    <w:rsid w:val="0A325ADB"/>
    <w:rsid w:val="0B216CF4"/>
    <w:rsid w:val="0B353F6E"/>
    <w:rsid w:val="0C580A4E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2580451"/>
    <w:rsid w:val="137B38DC"/>
    <w:rsid w:val="146B53DF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95C3707"/>
    <w:rsid w:val="1B040AF0"/>
    <w:rsid w:val="1B7F6894"/>
    <w:rsid w:val="1B811C08"/>
    <w:rsid w:val="1C004A55"/>
    <w:rsid w:val="1DD80BF7"/>
    <w:rsid w:val="1E8B6382"/>
    <w:rsid w:val="1E9268BE"/>
    <w:rsid w:val="1EFB394F"/>
    <w:rsid w:val="2086495D"/>
    <w:rsid w:val="20F56432"/>
    <w:rsid w:val="21012DCF"/>
    <w:rsid w:val="218E2A3A"/>
    <w:rsid w:val="22246CB4"/>
    <w:rsid w:val="23C96556"/>
    <w:rsid w:val="23D504F4"/>
    <w:rsid w:val="23E24D51"/>
    <w:rsid w:val="246F59E3"/>
    <w:rsid w:val="24DA7466"/>
    <w:rsid w:val="256746D6"/>
    <w:rsid w:val="26B72586"/>
    <w:rsid w:val="27807BE0"/>
    <w:rsid w:val="2793010C"/>
    <w:rsid w:val="286F00F7"/>
    <w:rsid w:val="29DA40B8"/>
    <w:rsid w:val="29FD5AAD"/>
    <w:rsid w:val="2B4F2CEF"/>
    <w:rsid w:val="2BBC1282"/>
    <w:rsid w:val="2C723060"/>
    <w:rsid w:val="2CF35149"/>
    <w:rsid w:val="2D2266BD"/>
    <w:rsid w:val="2DC8218D"/>
    <w:rsid w:val="2E102ABB"/>
    <w:rsid w:val="2F5659F3"/>
    <w:rsid w:val="30191AD6"/>
    <w:rsid w:val="30FB7E9E"/>
    <w:rsid w:val="323325C4"/>
    <w:rsid w:val="328B017F"/>
    <w:rsid w:val="3292324B"/>
    <w:rsid w:val="329342B5"/>
    <w:rsid w:val="32C1268D"/>
    <w:rsid w:val="335116E9"/>
    <w:rsid w:val="35006E33"/>
    <w:rsid w:val="360B655D"/>
    <w:rsid w:val="3794592A"/>
    <w:rsid w:val="38B05953"/>
    <w:rsid w:val="38B745E0"/>
    <w:rsid w:val="393671C3"/>
    <w:rsid w:val="396067EB"/>
    <w:rsid w:val="39D45C36"/>
    <w:rsid w:val="39FB167E"/>
    <w:rsid w:val="3A1640E8"/>
    <w:rsid w:val="3A8B6411"/>
    <w:rsid w:val="3B9D6276"/>
    <w:rsid w:val="3BFA37A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9AC6DDF"/>
    <w:rsid w:val="4A7E1328"/>
    <w:rsid w:val="4B623F21"/>
    <w:rsid w:val="4D744DB2"/>
    <w:rsid w:val="4D7A092A"/>
    <w:rsid w:val="4EBA0170"/>
    <w:rsid w:val="4FBD2120"/>
    <w:rsid w:val="4FD65049"/>
    <w:rsid w:val="503B2047"/>
    <w:rsid w:val="50CB7074"/>
    <w:rsid w:val="511A355D"/>
    <w:rsid w:val="513762CB"/>
    <w:rsid w:val="51950AC2"/>
    <w:rsid w:val="51DB5939"/>
    <w:rsid w:val="53AB2F4B"/>
    <w:rsid w:val="53E94A32"/>
    <w:rsid w:val="55B5596C"/>
    <w:rsid w:val="56D02305"/>
    <w:rsid w:val="56D145E5"/>
    <w:rsid w:val="57003156"/>
    <w:rsid w:val="58885FE0"/>
    <w:rsid w:val="59934FFE"/>
    <w:rsid w:val="59A61C5F"/>
    <w:rsid w:val="59D75EB0"/>
    <w:rsid w:val="5A2F5580"/>
    <w:rsid w:val="5A493582"/>
    <w:rsid w:val="5A7E7600"/>
    <w:rsid w:val="5AAD0A57"/>
    <w:rsid w:val="5BB61575"/>
    <w:rsid w:val="5D1024FF"/>
    <w:rsid w:val="5DA31586"/>
    <w:rsid w:val="5DBD70E7"/>
    <w:rsid w:val="5EA6596C"/>
    <w:rsid w:val="5ED65EE2"/>
    <w:rsid w:val="5F141197"/>
    <w:rsid w:val="6066691B"/>
    <w:rsid w:val="61F31C9B"/>
    <w:rsid w:val="62146F60"/>
    <w:rsid w:val="62F2388B"/>
    <w:rsid w:val="637B3DE7"/>
    <w:rsid w:val="63934138"/>
    <w:rsid w:val="63DB63D1"/>
    <w:rsid w:val="65E158A6"/>
    <w:rsid w:val="68E06C2C"/>
    <w:rsid w:val="68ED4DB7"/>
    <w:rsid w:val="68FD23E4"/>
    <w:rsid w:val="69B42AF7"/>
    <w:rsid w:val="69E41B3B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ody Text Indent 2"/>
    <w:basedOn w:val="1"/>
    <w:next w:val="10"/>
    <w:qFormat/>
    <w:uiPriority w:val="0"/>
    <w:pPr>
      <w:spacing w:line="500" w:lineRule="atLeast"/>
      <w:ind w:left="43" w:leftChars="43" w:firstLine="720" w:firstLineChars="200"/>
      <w:outlineLvl w:val="0"/>
    </w:pPr>
    <w:rPr>
      <w:rFonts w:hint="eastAsia" w:ascii="仿宋_GB2312" w:hAnsi="Times New Roman"/>
      <w:sz w:val="36"/>
    </w:rPr>
  </w:style>
  <w:style w:type="paragraph" w:customStyle="1" w:styleId="10">
    <w:name w:val="z正文"/>
    <w:basedOn w:val="7"/>
    <w:qFormat/>
    <w:uiPriority w:val="99"/>
    <w:pPr>
      <w:tabs>
        <w:tab w:val="left" w:pos="525"/>
      </w:tabs>
      <w:snapToGrid w:val="0"/>
      <w:spacing w:line="360" w:lineRule="auto"/>
    </w:pPr>
    <w:rPr>
      <w:rFonts w:hAnsi="宋体"/>
      <w:sz w:val="24"/>
    </w:rPr>
  </w:style>
  <w:style w:type="paragraph" w:styleId="11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5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7">
    <w:name w:val="Body Text First Indent"/>
    <w:basedOn w:val="5"/>
    <w:next w:val="9"/>
    <w:qFormat/>
    <w:uiPriority w:val="99"/>
    <w:pPr>
      <w:ind w:firstLine="420" w:firstLineChars="100"/>
    </w:p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qFormat/>
    <w:uiPriority w:val="0"/>
  </w:style>
  <w:style w:type="character" w:styleId="22">
    <w:name w:val="Hyperlink"/>
    <w:basedOn w:val="2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20"/>
    <w:link w:val="13"/>
    <w:qFormat/>
    <w:uiPriority w:val="99"/>
    <w:rPr>
      <w:sz w:val="18"/>
      <w:szCs w:val="18"/>
    </w:rPr>
  </w:style>
  <w:style w:type="character" w:customStyle="1" w:styleId="25">
    <w:name w:val="页脚 字符"/>
    <w:basedOn w:val="20"/>
    <w:link w:val="12"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2 字符"/>
    <w:basedOn w:val="20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20"/>
    <w:link w:val="11"/>
    <w:semiHidden/>
    <w:qFormat/>
    <w:uiPriority w:val="99"/>
    <w:rPr>
      <w:sz w:val="18"/>
      <w:szCs w:val="18"/>
    </w:rPr>
  </w:style>
  <w:style w:type="character" w:customStyle="1" w:styleId="31">
    <w:name w:val="font1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qFormat/>
    <w:uiPriority w:val="0"/>
    <w:pPr>
      <w:spacing w:line="300" w:lineRule="auto"/>
    </w:pPr>
    <w:rPr>
      <w:rFonts w:ascii="Arial" w:hAnsi="Arial" w:eastAsia="宋体" w:cs="黑体"/>
      <w:kern w:val="0"/>
      <w:sz w:val="21"/>
      <w:szCs w:val="21"/>
      <w:lang w:val="en-US" w:eastAsia="zh-CN" w:bidi="ar-SA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5246</Words>
  <Characters>5517</Characters>
  <Lines>26</Lines>
  <Paragraphs>7</Paragraphs>
  <TotalTime>3</TotalTime>
  <ScaleCrop>false</ScaleCrop>
  <LinksUpToDate>false</LinksUpToDate>
  <CharactersWithSpaces>5594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2024-09-18T08:56:00Z</cp:lastPrinted>
  <dcterms:modified xsi:type="dcterms:W3CDTF">2024-09-20T04:17:32Z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FB71963BD81A4A17B0C7856BB4632F67_13</vt:lpwstr>
  </property>
  <property fmtid="{D5CDD505-2E9C-101B-9397-08002B2CF9AE}" pid="4" name="commondata">
    <vt:lpwstr>eyJoZGlkIjoiNGFhNjBkNjkwYzVkMGJlYjhkODdmZTMyNDY5NTA5YWUifQ==</vt:lpwstr>
  </property>
</Properties>
</file>