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9466FB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jc w:val="left"/>
        <w:rPr>
          <w:rFonts w:ascii="Arial" w:hAnsi="Arial" w:eastAsia="黑体" w:cs="Times New Roman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bookmarkStart w:id="0" w:name="_Hlt101843627"/>
      <w:bookmarkEnd w:id="0"/>
      <w:bookmarkStart w:id="1" w:name="_Hlt101233737"/>
      <w:bookmarkEnd w:id="1"/>
      <w:r>
        <w:rPr>
          <w:rFonts w:hint="eastAsia" w:ascii="Arial" w:hAnsi="Arial" w:eastAsia="黑体" w:cs="Times New Roman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附件1：项目需求</w:t>
      </w:r>
    </w:p>
    <w:p w14:paraId="33AB05B8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（本章中标注“★”的条款为本项目的实质性条款，投标人不满足的，将按照无效投标处理。）</w:t>
      </w:r>
    </w:p>
    <w:p w14:paraId="4514464F">
      <w:pPr>
        <w:keepNext w:val="0"/>
        <w:keepLines w:val="0"/>
        <w:pageBreakBefore w:val="0"/>
        <w:numPr>
          <w:ilvl w:val="0"/>
          <w:numId w:val="2"/>
        </w:numPr>
        <w:kinsoku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480" w:firstLineChars="200"/>
        <w:jc w:val="left"/>
        <w:rPr>
          <w:rFonts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项目概述：</w:t>
      </w:r>
    </w:p>
    <w:p w14:paraId="2C534129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ind w:firstLine="480" w:firstLineChars="200"/>
        <w:rPr>
          <w:rFonts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</w:rPr>
        <w:t>本项目1个包，采购成都市龙泉驿区妇幼保健院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姿态影像分析系统1套</w:t>
      </w:r>
      <w:r>
        <w:rPr>
          <w:rFonts w:hint="eastAsia" w:ascii="宋体" w:hAnsi="宋体" w:eastAsia="宋体" w:cs="宋体"/>
          <w:sz w:val="24"/>
          <w:highlight w:val="none"/>
        </w:rPr>
        <w:t>，具体内容如下：</w:t>
      </w:r>
    </w:p>
    <w:tbl>
      <w:tblPr>
        <w:tblStyle w:val="18"/>
        <w:tblW w:w="96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9"/>
        <w:gridCol w:w="2490"/>
        <w:gridCol w:w="960"/>
        <w:gridCol w:w="971"/>
        <w:gridCol w:w="1975"/>
        <w:gridCol w:w="2046"/>
      </w:tblGrid>
      <w:tr w14:paraId="6BFF96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1169" w:type="dxa"/>
            <w:vAlign w:val="center"/>
          </w:tcPr>
          <w:p w14:paraId="00EF3B1B">
            <w:pPr>
              <w:pStyle w:val="4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2490" w:type="dxa"/>
            <w:vAlign w:val="center"/>
          </w:tcPr>
          <w:p w14:paraId="30E479FE">
            <w:pPr>
              <w:pStyle w:val="4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标的名称</w:t>
            </w:r>
          </w:p>
        </w:tc>
        <w:tc>
          <w:tcPr>
            <w:tcW w:w="960" w:type="dxa"/>
            <w:vAlign w:val="center"/>
          </w:tcPr>
          <w:p w14:paraId="36CE4D32">
            <w:pPr>
              <w:pStyle w:val="4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数量</w:t>
            </w:r>
          </w:p>
        </w:tc>
        <w:tc>
          <w:tcPr>
            <w:tcW w:w="971" w:type="dxa"/>
            <w:vAlign w:val="center"/>
          </w:tcPr>
          <w:p w14:paraId="3225C524">
            <w:pPr>
              <w:pStyle w:val="4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单位</w:t>
            </w:r>
          </w:p>
        </w:tc>
        <w:tc>
          <w:tcPr>
            <w:tcW w:w="1975" w:type="dxa"/>
          </w:tcPr>
          <w:p w14:paraId="3FEAAC8C">
            <w:pPr>
              <w:pStyle w:val="4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最高单价限价（元）</w:t>
            </w:r>
          </w:p>
        </w:tc>
        <w:tc>
          <w:tcPr>
            <w:tcW w:w="2046" w:type="dxa"/>
          </w:tcPr>
          <w:p w14:paraId="17D736F9">
            <w:pPr>
              <w:pStyle w:val="4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最高总价限价（元）</w:t>
            </w:r>
          </w:p>
        </w:tc>
      </w:tr>
      <w:tr w14:paraId="2E1914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69" w:type="dxa"/>
            <w:vAlign w:val="center"/>
          </w:tcPr>
          <w:p w14:paraId="46353B75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1</w:t>
            </w:r>
          </w:p>
        </w:tc>
        <w:tc>
          <w:tcPr>
            <w:tcW w:w="2490" w:type="dxa"/>
            <w:vAlign w:val="center"/>
          </w:tcPr>
          <w:p w14:paraId="352F3C9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姿态影像分析系统</w:t>
            </w:r>
          </w:p>
        </w:tc>
        <w:tc>
          <w:tcPr>
            <w:tcW w:w="960" w:type="dxa"/>
            <w:vAlign w:val="center"/>
          </w:tcPr>
          <w:p w14:paraId="6CF64E1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971" w:type="dxa"/>
            <w:vAlign w:val="center"/>
          </w:tcPr>
          <w:p w14:paraId="06B849D9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ind w:firstLine="240" w:firstLineChars="100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套</w:t>
            </w:r>
          </w:p>
        </w:tc>
        <w:tc>
          <w:tcPr>
            <w:tcW w:w="1975" w:type="dxa"/>
            <w:vAlign w:val="center"/>
          </w:tcPr>
          <w:p w14:paraId="2F5403E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highlight w:val="none"/>
                <w:lang w:val="en-US" w:eastAsia="zh-CN" w:bidi="ar"/>
              </w:rPr>
              <w:t>250000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highlight w:val="none"/>
                <w:lang w:bidi="ar"/>
              </w:rPr>
              <w:t>.00</w:t>
            </w:r>
          </w:p>
        </w:tc>
        <w:tc>
          <w:tcPr>
            <w:tcW w:w="2046" w:type="dxa"/>
            <w:vAlign w:val="center"/>
          </w:tcPr>
          <w:p w14:paraId="770869F4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highlight w:val="none"/>
                <w:lang w:val="en-US" w:eastAsia="zh-CN" w:bidi="ar"/>
              </w:rPr>
              <w:t>250000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highlight w:val="none"/>
                <w:lang w:bidi="ar"/>
              </w:rPr>
              <w:t>.00</w:t>
            </w:r>
          </w:p>
        </w:tc>
      </w:tr>
    </w:tbl>
    <w:p w14:paraId="3350A4F2">
      <w:pPr>
        <w:keepNext w:val="0"/>
        <w:keepLines w:val="0"/>
        <w:pageBreakBefore w:val="0"/>
        <w:widowControl/>
        <w:numPr>
          <w:ilvl w:val="255"/>
          <w:numId w:val="0"/>
        </w:numPr>
        <w:kinsoku/>
        <w:overflowPunct/>
        <w:topLinePunct w:val="0"/>
        <w:autoSpaceDE/>
        <w:autoSpaceDN/>
        <w:bidi w:val="0"/>
        <w:spacing w:line="500" w:lineRule="exact"/>
        <w:ind w:firstLine="420" w:firstLineChars="200"/>
        <w:rPr>
          <w:rFonts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4"/>
          <w:highlight w:val="none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二、</w:t>
      </w:r>
      <w:r>
        <w:rPr>
          <w:rFonts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商务要求：</w:t>
      </w:r>
    </w:p>
    <w:p w14:paraId="22EFDFC4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rPr>
          <w:rFonts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1．交货期及地点</w:t>
      </w:r>
    </w:p>
    <w:p w14:paraId="7461A177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rPr>
          <w:rFonts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</w:rPr>
        <w:t xml:space="preserve">1.1 交货期：合同签订生效后15日内。 </w:t>
      </w:r>
    </w:p>
    <w:p w14:paraId="2909750E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rPr>
          <w:rFonts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</w:rPr>
        <w:t>1.2 交货地点: 成都市龙泉驿区妇幼保健院</w:t>
      </w:r>
    </w:p>
    <w:p w14:paraId="5426CCBC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rPr>
          <w:rFonts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2．付款方法和条件：</w:t>
      </w:r>
    </w:p>
    <w:p w14:paraId="79554D65">
      <w:pPr>
        <w:pStyle w:val="36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 w:val="0"/>
        <w:spacing w:line="500" w:lineRule="exact"/>
        <w:ind w:firstLine="240" w:firstLineChars="100"/>
        <w:textAlignment w:val="baseline"/>
        <w:rPr>
          <w:rFonts w:hAnsi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Cs/>
          <w:highlight w:val="none"/>
        </w:rPr>
        <w:t xml:space="preserve">2.1 </w:t>
      </w:r>
      <w:r>
        <w:rPr>
          <w:rFonts w:hint="eastAsia" w:hAnsi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合同签订后，货物到指定地点，甲方接到乙方通知与票据凭证资料以后的15日内，按照财政性资金支付有关规定，向乙方核拨预付款，合同总金额的50%款项；</w:t>
      </w:r>
    </w:p>
    <w:p w14:paraId="1F1153A8">
      <w:pPr>
        <w:pStyle w:val="36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 w:val="0"/>
        <w:spacing w:line="500" w:lineRule="exact"/>
        <w:ind w:firstLine="240" w:firstLineChars="100"/>
        <w:textAlignment w:val="baseline"/>
        <w:rPr>
          <w:rFonts w:hAnsi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bCs/>
          <w:highlight w:val="none"/>
        </w:rPr>
        <w:t>2.2</w:t>
      </w:r>
      <w:r>
        <w:rPr>
          <w:rFonts w:hint="eastAsia" w:hAnsi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货物安装调试完毕并经科室确认后，甲方接到乙方通知与票据凭证资料以后的15日内，向乙方核拨合同总金额的40%款项；</w:t>
      </w:r>
    </w:p>
    <w:p w14:paraId="73B4F8F7">
      <w:pPr>
        <w:pStyle w:val="36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 w:val="0"/>
        <w:spacing w:line="500" w:lineRule="exact"/>
        <w:ind w:firstLine="240" w:firstLineChars="100"/>
        <w:textAlignment w:val="baseline"/>
        <w:rPr>
          <w:rFonts w:hAnsi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bCs/>
          <w:highlight w:val="none"/>
        </w:rPr>
        <w:t>2.3</w:t>
      </w:r>
      <w:r>
        <w:rPr>
          <w:rFonts w:hint="eastAsia" w:hAnsi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货物正常使用六个月后，乙方提交验收报告，经科室确认后，甲方接到乙方通知与票据凭证资料以后的15日内，向乙方核拨合同总金额的10%款项；</w:t>
      </w:r>
    </w:p>
    <w:p w14:paraId="7FC02BDA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ind w:firstLine="240" w:firstLineChars="100"/>
        <w:rPr>
          <w:rFonts w:ascii="宋体" w:hAnsi="宋体" w:eastAsia="宋体" w:cs="宋体"/>
          <w:bCs/>
          <w:sz w:val="24"/>
          <w:highlight w:val="none"/>
        </w:rPr>
      </w:pPr>
      <w:r>
        <w:rPr>
          <w:rFonts w:ascii="宋体" w:hAnsi="宋体" w:eastAsia="宋体" w:cs="宋体"/>
          <w:bCs/>
          <w:sz w:val="24"/>
          <w:highlight w:val="none"/>
        </w:rPr>
        <w:t>2.</w:t>
      </w:r>
      <w:r>
        <w:rPr>
          <w:rFonts w:hint="eastAsia" w:ascii="宋体" w:hAnsi="宋体" w:eastAsia="宋体" w:cs="宋体"/>
          <w:bCs/>
          <w:sz w:val="24"/>
          <w:highlight w:val="none"/>
        </w:rPr>
        <w:t>4 付款条件：每次款项的支付前提均为采购人在收到中标人出具的正规发票30日内予以办理款项的支付。</w:t>
      </w:r>
    </w:p>
    <w:p w14:paraId="3DE31DD0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rPr>
          <w:rFonts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3.质保期：不低于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叁</w:t>
      </w:r>
      <w:r>
        <w:rPr>
          <w:rFonts w:hint="eastAsia" w:ascii="宋体" w:hAnsi="宋体" w:eastAsia="宋体" w:cs="宋体"/>
          <w:bCs/>
          <w:sz w:val="24"/>
          <w:highlight w:val="none"/>
        </w:rPr>
        <w:t>年，质保期从验收合格之日起计算。</w:t>
      </w:r>
    </w:p>
    <w:p w14:paraId="6C297635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rPr>
          <w:rFonts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4.安装调试及验收：</w:t>
      </w:r>
    </w:p>
    <w:p w14:paraId="39C2833E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ind w:firstLine="240" w:firstLineChars="100"/>
        <w:rPr>
          <w:rFonts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4.1 供应商负责设备安装、调试。</w:t>
      </w:r>
    </w:p>
    <w:p w14:paraId="7BBA54DE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ind w:firstLine="240" w:firstLineChars="100"/>
        <w:rPr>
          <w:rFonts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4.2 货物到达采购人现场后，供应商接到采购人通知后7日内到达现场组织安装、调试，达到正常运行要求，保证采购人正常使用。所需的费用包括在投标总价格中。</w:t>
      </w:r>
    </w:p>
    <w:p w14:paraId="095B63BE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ind w:firstLine="240" w:firstLineChars="100"/>
        <w:jc w:val="left"/>
        <w:rPr>
          <w:rFonts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4.3 供应商应就设备的安装、调试、操作、维修、保养等对采购人维修技术人员进行培训。设备安装调试完毕后，供应商应对采购人操作人员进行现场培训，直至采购人的技术人员能独立操作，同时能完成一般常见故障的维修工作。</w:t>
      </w:r>
    </w:p>
    <w:p w14:paraId="20AAECFA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rPr>
          <w:rFonts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5.履约验收要求</w:t>
      </w:r>
    </w:p>
    <w:p w14:paraId="2D995378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ind w:firstLine="240" w:firstLineChars="100"/>
        <w:rPr>
          <w:rFonts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5.1 验收方法：验收时双方皆应派员参加，验收合格并安装完毕后需双方签署验收单；</w:t>
      </w:r>
    </w:p>
    <w:p w14:paraId="2A8A6FC5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ind w:firstLine="240" w:firstLineChars="100"/>
        <w:rPr>
          <w:rFonts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5.2 验收标准：符合国家相关规定的合格产品；保证所供的货物皆为原厂原装、全新、未使用过，并按照相关技术要求进行安装、调试，并完全满足采购人采购提出的工作需要。</w:t>
      </w:r>
    </w:p>
    <w:p w14:paraId="10060927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ind w:firstLine="240" w:firstLineChars="100"/>
        <w:rPr>
          <w:rFonts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5.3 验收时须提供的产品资料：（1）合同复印件1份；（2）中标人资质、产品制造厂家资质及产品资质、投标产品制造厂家的授权文件纸质电子版各1套；（3）合格证、保修卡、使用手册等。</w:t>
      </w:r>
    </w:p>
    <w:p w14:paraId="5CC3123B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ind w:firstLine="240" w:firstLineChars="100"/>
        <w:rPr>
          <w:rFonts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5.4 验收时间要求：中标人按照合同要求完成全部货物运输、安装、调试等全部工作后，采购人在收到书面的验收申请材料后30日内组织履约验收工作。</w:t>
      </w:r>
    </w:p>
    <w:p w14:paraId="04473E2B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ind w:firstLine="240" w:firstLineChars="100"/>
        <w:rPr>
          <w:rFonts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5.5 其他要求：验收不合格时，采购人和中标人应协商一致，中标人应根据相关验收证明材料及时补足或更换设备，费用由中标人自行承担。</w:t>
      </w:r>
    </w:p>
    <w:p w14:paraId="1E852C69">
      <w:pPr>
        <w:keepNext w:val="0"/>
        <w:keepLines w:val="0"/>
        <w:pageBreakBefore w:val="0"/>
        <w:numPr>
          <w:ilvl w:val="255"/>
          <w:numId w:val="0"/>
        </w:numPr>
        <w:kinsoku/>
        <w:overflowPunct/>
        <w:topLinePunct w:val="0"/>
        <w:autoSpaceDE/>
        <w:autoSpaceDN/>
        <w:bidi w:val="0"/>
        <w:spacing w:line="500" w:lineRule="exact"/>
        <w:rPr>
          <w:rFonts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6.售后服务及培训要求</w:t>
      </w:r>
    </w:p>
    <w:p w14:paraId="29518E77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ind w:firstLine="240" w:firstLineChars="100"/>
        <w:rPr>
          <w:rFonts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6.1 设备发生故障时，中标人接到通知后30分钟内提供电话等服务响应，48小时内到达现场维修。</w:t>
      </w:r>
    </w:p>
    <w:p w14:paraId="4FA8D21F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ind w:firstLine="240" w:firstLineChars="100"/>
        <w:rPr>
          <w:rFonts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6.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bCs/>
          <w:sz w:val="24"/>
          <w:highlight w:val="none"/>
        </w:rPr>
        <w:t>零配件供应：中标人应保证设备安装验收后备件供应不少于6年，备有所有必需的备件，保证需要时48小时内将配件送达采购人。</w:t>
      </w:r>
    </w:p>
    <w:p w14:paraId="37793AA3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ind w:firstLine="240" w:firstLineChars="100"/>
        <w:rPr>
          <w:rFonts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6.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bCs/>
          <w:sz w:val="24"/>
          <w:highlight w:val="none"/>
        </w:rPr>
        <w:t>投标产品制造厂家在国内应有24小时电话维修系统，在供货时须提供工程师名单、联系电话、通讯地址及备件的目录，保证8小时响应采购人的服务要求。</w:t>
      </w:r>
    </w:p>
    <w:p w14:paraId="5082BB3A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ind w:firstLine="240" w:firstLineChars="100"/>
        <w:rPr>
          <w:rFonts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6.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bCs/>
          <w:sz w:val="24"/>
          <w:highlight w:val="none"/>
        </w:rPr>
        <w:t xml:space="preserve"> 中标人或投标产品生产厂家的售后服务机构在对设备进行保养、维修后须向采购人管理科室提供经使用人员确认的纸质报告；中标人或投标产品生产厂家需提供每年不少于2次的日常巡查巡检设备，并提供纸质报告。</w:t>
      </w:r>
    </w:p>
    <w:p w14:paraId="370B5F44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ind w:firstLine="240" w:firstLineChars="100"/>
        <w:rPr>
          <w:rFonts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6.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bCs/>
          <w:sz w:val="24"/>
          <w:highlight w:val="none"/>
        </w:rPr>
        <w:t xml:space="preserve"> 中标人应就设备的安装、调试、操作、维修、保养等对采购人技术人员进行培训，培训人员须为设备制造厂家的专业售后人员.</w:t>
      </w:r>
    </w:p>
    <w:p w14:paraId="663E6A47">
      <w:pPr>
        <w:keepNext w:val="0"/>
        <w:keepLines w:val="0"/>
        <w:pageBreakBefore w:val="0"/>
        <w:numPr>
          <w:ilvl w:val="255"/>
          <w:numId w:val="0"/>
        </w:numPr>
        <w:kinsoku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三、项目服务内容及要求：</w:t>
      </w:r>
    </w:p>
    <w:p w14:paraId="02700660">
      <w:pPr>
        <w:spacing w:line="500" w:lineRule="exact"/>
        <w:ind w:firstLine="241" w:firstLineChars="100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1.适用范围：</w:t>
      </w:r>
    </w:p>
    <w:p w14:paraId="67DF07AA">
      <w:pPr>
        <w:spacing w:line="500" w:lineRule="exact"/>
        <w:ind w:firstLine="240" w:firstLineChars="100"/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该系统需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实现对儿童青少年体态动态监测、脊柱侧凸风险监测、以及足型扫描（足底维度数据、足底压力情况及足弓和拇指分析等）、体态风险快照、运动医学处方设定、数据统计分析等。</w:t>
      </w:r>
    </w:p>
    <w:p w14:paraId="09BB3E98">
      <w:pPr>
        <w:spacing w:line="500" w:lineRule="exact"/>
        <w:ind w:firstLine="241" w:firstLineChars="100"/>
        <w:rPr>
          <w:rFonts w:hint="eastAsia" w:ascii="宋体" w:hAnsi="宋体" w:eastAsia="宋体" w:cs="宋体"/>
          <w:b/>
          <w:bCs w:val="0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 w:val="0"/>
          <w:sz w:val="24"/>
          <w:highlight w:val="none"/>
          <w:lang w:val="en-US" w:eastAsia="zh-CN"/>
        </w:rPr>
        <w:t>2.</w:t>
      </w:r>
      <w:r>
        <w:rPr>
          <w:rFonts w:hint="eastAsia" w:ascii="宋体" w:hAnsi="宋体" w:eastAsia="宋体" w:cs="宋体"/>
          <w:b/>
          <w:bCs w:val="0"/>
          <w:sz w:val="24"/>
          <w:highlight w:val="none"/>
        </w:rPr>
        <w:t>软件性能</w:t>
      </w:r>
      <w:r>
        <w:rPr>
          <w:rFonts w:hint="eastAsia" w:ascii="宋体" w:hAnsi="宋体" w:eastAsia="宋体" w:cs="宋体"/>
          <w:b/>
          <w:bCs w:val="0"/>
          <w:sz w:val="24"/>
          <w:highlight w:val="none"/>
          <w:lang w:eastAsia="zh-CN"/>
        </w:rPr>
        <w:t>：</w:t>
      </w:r>
    </w:p>
    <w:p w14:paraId="0482F5EE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2.1 ▲可</w:t>
      </w:r>
      <w:r>
        <w:rPr>
          <w:rFonts w:hint="eastAsia" w:ascii="宋体" w:hAnsi="宋体" w:eastAsia="宋体" w:cs="宋体"/>
          <w:bCs/>
          <w:sz w:val="24"/>
          <w:highlight w:val="none"/>
        </w:rPr>
        <w:t>提供12项指标及检测范围</w:t>
      </w: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：</w:t>
      </w:r>
    </w:p>
    <w:p w14:paraId="67FE5E81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头颈前倾度：0</w:t>
      </w:r>
      <w:r>
        <w:rPr>
          <w:rFonts w:hint="eastAsia" w:ascii="微软雅黑" w:hAnsi="微软雅黑" w:eastAsia="微软雅黑" w:cs="微软雅黑"/>
          <w:bCs/>
          <w:sz w:val="24"/>
          <w:highlight w:val="none"/>
          <w:lang w:val="en-US" w:eastAsia="zh-CN"/>
        </w:rPr>
        <w:t>～</w:t>
      </w:r>
      <w:r>
        <w:rPr>
          <w:rFonts w:hint="eastAsia" w:ascii="宋体" w:hAnsi="宋体" w:eastAsia="宋体" w:cs="宋体"/>
          <w:bCs/>
          <w:sz w:val="24"/>
          <w:highlight w:val="none"/>
        </w:rPr>
        <w:t>180度</w:t>
      </w:r>
    </w:p>
    <w:p w14:paraId="7D1F391F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头颈平衡度：0</w:t>
      </w:r>
      <w:r>
        <w:rPr>
          <w:rFonts w:hint="eastAsia" w:ascii="微软雅黑" w:hAnsi="微软雅黑" w:eastAsia="微软雅黑" w:cs="微软雅黑"/>
          <w:bCs/>
          <w:sz w:val="24"/>
          <w:highlight w:val="none"/>
          <w:lang w:val="en-US" w:eastAsia="zh-CN"/>
        </w:rPr>
        <w:t>～</w:t>
      </w:r>
      <w:r>
        <w:rPr>
          <w:rFonts w:hint="eastAsia" w:ascii="宋体" w:hAnsi="宋体" w:eastAsia="宋体" w:cs="宋体"/>
          <w:bCs/>
          <w:sz w:val="24"/>
          <w:highlight w:val="none"/>
        </w:rPr>
        <w:t>180度</w:t>
      </w:r>
    </w:p>
    <w:p w14:paraId="46B9A6DD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圆肩度：肩平衡0</w:t>
      </w:r>
      <w:r>
        <w:rPr>
          <w:rFonts w:hint="eastAsia" w:ascii="微软雅黑" w:hAnsi="微软雅黑" w:eastAsia="微软雅黑" w:cs="微软雅黑"/>
          <w:bCs/>
          <w:sz w:val="24"/>
          <w:highlight w:val="none"/>
          <w:lang w:val="en-US" w:eastAsia="zh-CN"/>
        </w:rPr>
        <w:t>～</w:t>
      </w:r>
      <w:r>
        <w:rPr>
          <w:rFonts w:hint="eastAsia" w:ascii="宋体" w:hAnsi="宋体" w:eastAsia="宋体" w:cs="宋体"/>
          <w:bCs/>
          <w:sz w:val="24"/>
          <w:highlight w:val="none"/>
        </w:rPr>
        <w:t>180度</w:t>
      </w:r>
    </w:p>
    <w:p w14:paraId="6A72F9D8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脊柱侧倾度：0</w:t>
      </w:r>
      <w:r>
        <w:rPr>
          <w:rFonts w:hint="eastAsia" w:ascii="微软雅黑" w:hAnsi="微软雅黑" w:eastAsia="微软雅黑" w:cs="微软雅黑"/>
          <w:bCs/>
          <w:sz w:val="24"/>
          <w:highlight w:val="none"/>
          <w:lang w:val="en-US" w:eastAsia="zh-CN"/>
        </w:rPr>
        <w:t>～</w:t>
      </w:r>
      <w:r>
        <w:rPr>
          <w:rFonts w:hint="eastAsia" w:ascii="宋体" w:hAnsi="宋体" w:eastAsia="宋体" w:cs="宋体"/>
          <w:bCs/>
          <w:sz w:val="24"/>
          <w:highlight w:val="none"/>
        </w:rPr>
        <w:t>180度</w:t>
      </w:r>
    </w:p>
    <w:p w14:paraId="0F095B34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骨盆倾斜度：0</w:t>
      </w:r>
      <w:r>
        <w:rPr>
          <w:rFonts w:hint="eastAsia" w:ascii="微软雅黑" w:hAnsi="微软雅黑" w:eastAsia="微软雅黑" w:cs="微软雅黑"/>
          <w:bCs/>
          <w:sz w:val="24"/>
          <w:highlight w:val="none"/>
          <w:lang w:val="en-US" w:eastAsia="zh-CN"/>
        </w:rPr>
        <w:t>～</w:t>
      </w:r>
      <w:r>
        <w:rPr>
          <w:rFonts w:hint="eastAsia" w:ascii="宋体" w:hAnsi="宋体" w:eastAsia="宋体" w:cs="宋体"/>
          <w:bCs/>
          <w:sz w:val="24"/>
          <w:highlight w:val="none"/>
        </w:rPr>
        <w:t>180度</w:t>
      </w:r>
    </w:p>
    <w:p w14:paraId="6606CFA2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髋平衡：0</w:t>
      </w:r>
      <w:r>
        <w:rPr>
          <w:rFonts w:hint="eastAsia" w:ascii="微软雅黑" w:hAnsi="微软雅黑" w:eastAsia="微软雅黑" w:cs="微软雅黑"/>
          <w:bCs/>
          <w:sz w:val="24"/>
          <w:highlight w:val="none"/>
          <w:lang w:val="en-US" w:eastAsia="zh-CN"/>
        </w:rPr>
        <w:t>～</w:t>
      </w:r>
      <w:r>
        <w:rPr>
          <w:rFonts w:hint="eastAsia" w:ascii="宋体" w:hAnsi="宋体" w:eastAsia="宋体" w:cs="宋体"/>
          <w:bCs/>
          <w:sz w:val="24"/>
          <w:highlight w:val="none"/>
        </w:rPr>
        <w:t>180度</w:t>
      </w:r>
    </w:p>
    <w:p w14:paraId="629C1D3D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左膝关节内外翻：0</w:t>
      </w:r>
      <w:r>
        <w:rPr>
          <w:rFonts w:hint="eastAsia" w:ascii="微软雅黑" w:hAnsi="微软雅黑" w:eastAsia="微软雅黑" w:cs="微软雅黑"/>
          <w:bCs/>
          <w:sz w:val="24"/>
          <w:highlight w:val="none"/>
          <w:lang w:val="en-US" w:eastAsia="zh-CN"/>
        </w:rPr>
        <w:t>～</w:t>
      </w:r>
      <w:r>
        <w:rPr>
          <w:rFonts w:hint="eastAsia" w:ascii="宋体" w:hAnsi="宋体" w:eastAsia="宋体" w:cs="宋体"/>
          <w:bCs/>
          <w:sz w:val="24"/>
          <w:highlight w:val="none"/>
        </w:rPr>
        <w:t>180度</w:t>
      </w:r>
    </w:p>
    <w:p w14:paraId="116A05A4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右膝关节内外翻：0</w:t>
      </w:r>
      <w:r>
        <w:rPr>
          <w:rFonts w:hint="eastAsia" w:ascii="微软雅黑" w:hAnsi="微软雅黑" w:eastAsia="微软雅黑" w:cs="微软雅黑"/>
          <w:bCs/>
          <w:sz w:val="24"/>
          <w:highlight w:val="none"/>
          <w:lang w:val="en-US" w:eastAsia="zh-CN"/>
        </w:rPr>
        <w:t>～</w:t>
      </w:r>
      <w:r>
        <w:rPr>
          <w:rFonts w:hint="eastAsia" w:ascii="宋体" w:hAnsi="宋体" w:eastAsia="宋体" w:cs="宋体"/>
          <w:bCs/>
          <w:sz w:val="24"/>
          <w:highlight w:val="none"/>
        </w:rPr>
        <w:t>180度</w:t>
      </w:r>
    </w:p>
    <w:p w14:paraId="6B414C6D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膝过伸：0</w:t>
      </w:r>
      <w:r>
        <w:rPr>
          <w:rFonts w:hint="eastAsia" w:ascii="微软雅黑" w:hAnsi="微软雅黑" w:eastAsia="微软雅黑" w:cs="微软雅黑"/>
          <w:bCs/>
          <w:sz w:val="24"/>
          <w:highlight w:val="none"/>
          <w:lang w:val="en-US" w:eastAsia="zh-CN"/>
        </w:rPr>
        <w:t>～</w:t>
      </w:r>
      <w:r>
        <w:rPr>
          <w:rFonts w:hint="eastAsia" w:ascii="宋体" w:hAnsi="宋体" w:eastAsia="宋体" w:cs="宋体"/>
          <w:bCs/>
          <w:sz w:val="24"/>
          <w:highlight w:val="none"/>
        </w:rPr>
        <w:t>180度</w:t>
      </w:r>
    </w:p>
    <w:p w14:paraId="0641E228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人体重心垂直移动： ±10CM</w:t>
      </w:r>
    </w:p>
    <w:p w14:paraId="17911846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人体重心水平移动： ±10CM</w:t>
      </w: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；</w:t>
      </w:r>
    </w:p>
    <w:p w14:paraId="7B1B109B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2.2 检测精度：误差率≤5%；</w:t>
      </w:r>
    </w:p>
    <w:p w14:paraId="690C447C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2.3 可同时进行人体矢状面与冠状面体态分析，所需的影像时长≤3秒；</w:t>
      </w:r>
    </w:p>
    <w:p w14:paraId="02F88B0D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2.4 检测报告输出耗时≤30秒；</w:t>
      </w:r>
    </w:p>
    <w:p w14:paraId="11FB1433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2.5 满负荷每小时检测报告生成数量≥80份；系统平均无故障时</w:t>
      </w:r>
      <w:r>
        <w:rPr>
          <w:rFonts w:hint="eastAsia" w:ascii="宋体" w:hAnsi="宋体" w:eastAsia="宋体" w:cs="宋体"/>
          <w:bCs/>
          <w:sz w:val="24"/>
          <w:highlight w:val="none"/>
        </w:rPr>
        <w:t>间不低于2000小时</w:t>
      </w: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。</w:t>
      </w:r>
    </w:p>
    <w:p w14:paraId="5D7389FF">
      <w:pPr>
        <w:spacing w:line="500" w:lineRule="exact"/>
        <w:ind w:firstLine="241" w:firstLineChars="100"/>
        <w:rPr>
          <w:rFonts w:hint="eastAsia" w:ascii="宋体" w:hAnsi="宋体" w:eastAsia="宋体" w:cs="宋体"/>
          <w:b/>
          <w:bCs w:val="0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 w:val="0"/>
          <w:sz w:val="24"/>
          <w:highlight w:val="none"/>
          <w:lang w:val="en-US" w:eastAsia="zh-CN"/>
        </w:rPr>
        <w:t>3.</w:t>
      </w:r>
      <w:r>
        <w:rPr>
          <w:rFonts w:hint="eastAsia" w:ascii="宋体" w:hAnsi="宋体" w:eastAsia="宋体" w:cs="宋体"/>
          <w:b/>
          <w:bCs w:val="0"/>
          <w:sz w:val="24"/>
          <w:highlight w:val="none"/>
        </w:rPr>
        <w:t>姿态影像采集装置</w:t>
      </w:r>
      <w:r>
        <w:rPr>
          <w:rFonts w:hint="eastAsia" w:ascii="宋体" w:hAnsi="宋体" w:eastAsia="宋体" w:cs="宋体"/>
          <w:b/>
          <w:bCs w:val="0"/>
          <w:sz w:val="24"/>
          <w:highlight w:val="none"/>
          <w:lang w:eastAsia="zh-CN"/>
        </w:rPr>
        <w:t>：</w:t>
      </w:r>
    </w:p>
    <w:p w14:paraId="75129DD9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3.</w:t>
      </w:r>
      <w:r>
        <w:rPr>
          <w:rFonts w:hint="eastAsia" w:ascii="宋体" w:hAnsi="宋体" w:eastAsia="宋体" w:cs="宋体"/>
          <w:bCs/>
          <w:sz w:val="24"/>
          <w:highlight w:val="none"/>
        </w:rPr>
        <w:t>1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 传感器尺寸  1/2.3英寸；</w:t>
      </w:r>
    </w:p>
    <w:p w14:paraId="7B80FA38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  <w:lang w:val="en-US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3.</w:t>
      </w:r>
      <w:r>
        <w:rPr>
          <w:rFonts w:hint="eastAsia" w:ascii="宋体" w:hAnsi="宋体" w:eastAsia="宋体" w:cs="宋体"/>
          <w:bCs/>
          <w:sz w:val="24"/>
          <w:highlight w:val="none"/>
        </w:rPr>
        <w:t>2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 像素密度：</w:t>
      </w:r>
      <w:r>
        <w:rPr>
          <w:rFonts w:hint="eastAsia" w:ascii="宋体" w:hAnsi="宋体" w:eastAsia="宋体" w:cs="宋体"/>
          <w:bCs/>
          <w:sz w:val="24"/>
          <w:highlight w:val="none"/>
        </w:rPr>
        <w:t>≤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2.2μm；</w:t>
      </w:r>
    </w:p>
    <w:p w14:paraId="6592D4C9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</w:rPr>
        <w:t>3.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3 光学</w:t>
      </w:r>
      <w:r>
        <w:rPr>
          <w:rFonts w:hint="eastAsia" w:ascii="宋体" w:hAnsi="宋体" w:eastAsia="宋体" w:cs="宋体"/>
          <w:bCs/>
          <w:sz w:val="24"/>
          <w:highlight w:val="none"/>
        </w:rPr>
        <w:t>视场</w:t>
      </w: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bCs/>
          <w:sz w:val="24"/>
          <w:highlight w:val="none"/>
        </w:rPr>
        <w:t>≥FOV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-V 73°；</w:t>
      </w:r>
    </w:p>
    <w:p w14:paraId="60167762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3.</w:t>
      </w:r>
      <w:r>
        <w:rPr>
          <w:rFonts w:hint="eastAsia" w:ascii="宋体" w:hAnsi="宋体" w:eastAsia="宋体" w:cs="宋体"/>
          <w:bCs/>
          <w:sz w:val="24"/>
          <w:highlight w:val="none"/>
        </w:rPr>
        <w:t>4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 低照度：</w:t>
      </w:r>
      <w:r>
        <w:rPr>
          <w:rFonts w:hint="eastAsia" w:ascii="宋体" w:hAnsi="宋体" w:eastAsia="宋体" w:cs="宋体"/>
          <w:bCs/>
          <w:sz w:val="24"/>
          <w:highlight w:val="none"/>
        </w:rPr>
        <w:t>≤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0.08 Lux；</w:t>
      </w:r>
    </w:p>
    <w:p w14:paraId="58D0DDE8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3.</w:t>
      </w:r>
      <w:r>
        <w:rPr>
          <w:rFonts w:hint="eastAsia" w:ascii="宋体" w:hAnsi="宋体" w:eastAsia="宋体" w:cs="宋体"/>
          <w:bCs/>
          <w:sz w:val="24"/>
          <w:highlight w:val="none"/>
        </w:rPr>
        <w:t>5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4"/>
          <w:highlight w:val="none"/>
        </w:rPr>
        <w:t>帧率</w:t>
      </w: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bCs/>
          <w:sz w:val="24"/>
          <w:highlight w:val="none"/>
        </w:rPr>
        <w:t>≥30FPS</w:t>
      </w: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；</w:t>
      </w:r>
    </w:p>
    <w:p w14:paraId="03297CEE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3.6 动态范围</w:t>
      </w: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bCs/>
          <w:sz w:val="24"/>
          <w:highlight w:val="none"/>
        </w:rPr>
        <w:t>≥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96dB。</w:t>
      </w:r>
    </w:p>
    <w:p w14:paraId="17DBBD99">
      <w:pPr>
        <w:spacing w:line="500" w:lineRule="exact"/>
        <w:ind w:firstLine="241" w:firstLineChars="100"/>
        <w:rPr>
          <w:rFonts w:hint="eastAsia" w:ascii="宋体" w:hAnsi="宋体" w:eastAsia="宋体" w:cs="宋体"/>
          <w:b/>
          <w:bCs w:val="0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 w:val="0"/>
          <w:sz w:val="24"/>
          <w:highlight w:val="none"/>
          <w:lang w:val="en-US" w:eastAsia="zh-CN"/>
        </w:rPr>
        <w:t>4.</w:t>
      </w:r>
      <w:r>
        <w:rPr>
          <w:rFonts w:hint="eastAsia" w:ascii="宋体" w:hAnsi="宋体" w:eastAsia="宋体" w:cs="宋体"/>
          <w:b/>
          <w:bCs w:val="0"/>
          <w:sz w:val="24"/>
          <w:highlight w:val="none"/>
        </w:rPr>
        <w:t>中控系统</w:t>
      </w:r>
      <w:r>
        <w:rPr>
          <w:rFonts w:hint="eastAsia" w:ascii="宋体" w:hAnsi="宋体" w:eastAsia="宋体" w:cs="宋体"/>
          <w:b/>
          <w:bCs w:val="0"/>
          <w:sz w:val="24"/>
          <w:highlight w:val="none"/>
          <w:lang w:eastAsia="zh-CN"/>
        </w:rPr>
        <w:t>：</w:t>
      </w:r>
    </w:p>
    <w:p w14:paraId="258E6633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4.</w:t>
      </w:r>
      <w:r>
        <w:rPr>
          <w:rFonts w:hint="eastAsia" w:ascii="宋体" w:hAnsi="宋体" w:eastAsia="宋体" w:cs="宋体"/>
          <w:bCs/>
          <w:sz w:val="24"/>
          <w:highlight w:val="none"/>
        </w:rPr>
        <w:t>1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 单机版</w:t>
      </w:r>
    </w:p>
    <w:p w14:paraId="24C92CCB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4.</w:t>
      </w:r>
      <w:r>
        <w:rPr>
          <w:rFonts w:hint="eastAsia" w:ascii="宋体" w:hAnsi="宋体" w:eastAsia="宋体" w:cs="宋体"/>
          <w:bCs/>
          <w:sz w:val="24"/>
          <w:highlight w:val="none"/>
        </w:rPr>
        <w:t>2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4"/>
          <w:highlight w:val="none"/>
        </w:rPr>
        <w:t>操作系统</w:t>
      </w: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包含</w:t>
      </w:r>
      <w:r>
        <w:rPr>
          <w:rFonts w:hint="eastAsia" w:ascii="宋体" w:hAnsi="宋体" w:eastAsia="宋体" w:cs="宋体"/>
          <w:bCs/>
          <w:sz w:val="24"/>
          <w:highlight w:val="none"/>
        </w:rPr>
        <w:t>处理器管理、存储器管理、文件管理、设备管理、作业管理</w:t>
      </w: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；</w:t>
      </w:r>
    </w:p>
    <w:p w14:paraId="50BC0F92">
      <w:pPr>
        <w:spacing w:line="500" w:lineRule="exact"/>
        <w:ind w:firstLine="240" w:firstLineChars="100"/>
        <w:rPr>
          <w:rFonts w:hint="default" w:ascii="宋体" w:hAnsi="宋体" w:eastAsia="宋体" w:cs="宋体"/>
          <w:bCs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4.</w:t>
      </w:r>
      <w:r>
        <w:rPr>
          <w:rFonts w:hint="eastAsia" w:ascii="宋体" w:hAnsi="宋体" w:eastAsia="宋体" w:cs="宋体"/>
          <w:bCs/>
          <w:sz w:val="24"/>
          <w:highlight w:val="none"/>
        </w:rPr>
        <w:t>3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 应用软件：需为儿童青少年姿态影响分析软件，功能能达到对儿童青少年体态动态监测、脊柱侧凸风险监测、以及足型扫描（足底维度数据、足底压力情况及足弓和拇指分析等）、体态风险快照、运动医学处方设定、数据统计分析</w:t>
      </w:r>
    </w:p>
    <w:p w14:paraId="5E1186D3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4.</w:t>
      </w:r>
      <w:r>
        <w:rPr>
          <w:rFonts w:hint="eastAsia" w:ascii="宋体" w:hAnsi="宋体" w:eastAsia="宋体" w:cs="宋体"/>
          <w:bCs/>
          <w:sz w:val="24"/>
          <w:highlight w:val="none"/>
        </w:rPr>
        <w:t>4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 算力引擎：支持</w:t>
      </w:r>
      <w:r>
        <w:rPr>
          <w:rFonts w:hint="eastAsia" w:ascii="宋体" w:hAnsi="宋体" w:eastAsia="宋体" w:cs="宋体"/>
          <w:bCs/>
          <w:sz w:val="24"/>
          <w:highlight w:val="none"/>
        </w:rPr>
        <w:t>AI算法运行和数据处理的基础设施</w:t>
      </w: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。</w:t>
      </w:r>
    </w:p>
    <w:p w14:paraId="4F286348">
      <w:pPr>
        <w:spacing w:line="500" w:lineRule="exact"/>
        <w:ind w:firstLine="241" w:firstLineChars="100"/>
        <w:rPr>
          <w:rFonts w:hint="eastAsia" w:ascii="宋体" w:hAnsi="宋体" w:eastAsia="宋体" w:cs="宋体"/>
          <w:b/>
          <w:bCs w:val="0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24"/>
          <w:highlight w:val="none"/>
          <w:lang w:val="en-US" w:eastAsia="zh-CN"/>
        </w:rPr>
        <w:t>5.压力板：</w:t>
      </w:r>
    </w:p>
    <w:p w14:paraId="38EF2B98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  <w:lang w:val="en-US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5.</w:t>
      </w:r>
      <w:r>
        <w:rPr>
          <w:rFonts w:hint="eastAsia" w:ascii="宋体" w:hAnsi="宋体" w:eastAsia="宋体" w:cs="宋体"/>
          <w:bCs/>
          <w:sz w:val="24"/>
          <w:highlight w:val="none"/>
        </w:rPr>
        <w:t>1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 产品尺寸≤600*400*5mm；</w:t>
      </w:r>
    </w:p>
    <w:p w14:paraId="6B90627A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5.</w:t>
      </w:r>
      <w:r>
        <w:rPr>
          <w:rFonts w:hint="eastAsia" w:ascii="宋体" w:hAnsi="宋体" w:eastAsia="宋体" w:cs="宋体"/>
          <w:bCs/>
          <w:sz w:val="24"/>
          <w:highlight w:val="none"/>
        </w:rPr>
        <w:t>2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 电源参数</w:t>
      </w: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DC5V/5W；工作温度：0℃</w:t>
      </w:r>
      <w:r>
        <w:rPr>
          <w:rFonts w:hint="eastAsia" w:ascii="微软雅黑" w:hAnsi="微软雅黑" w:eastAsia="微软雅黑" w:cs="微软雅黑"/>
          <w:bCs/>
          <w:sz w:val="24"/>
          <w:highlight w:val="none"/>
          <w:lang w:val="en-US" w:eastAsia="zh-CN"/>
        </w:rPr>
        <w:t>～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50℃；工作湿度</w:t>
      </w: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30%</w:t>
      </w:r>
      <w:r>
        <w:rPr>
          <w:rFonts w:hint="eastAsia" w:ascii="微软雅黑" w:hAnsi="微软雅黑" w:eastAsia="微软雅黑" w:cs="微软雅黑"/>
          <w:bCs/>
          <w:sz w:val="24"/>
          <w:highlight w:val="none"/>
          <w:lang w:val="en-US" w:eastAsia="zh-CN"/>
        </w:rPr>
        <w:t>～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90%，不结露；储藏温度</w:t>
      </w: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-15℃</w:t>
      </w:r>
      <w:r>
        <w:rPr>
          <w:rFonts w:hint="eastAsia" w:ascii="微软雅黑" w:hAnsi="微软雅黑" w:eastAsia="微软雅黑" w:cs="微软雅黑"/>
          <w:bCs/>
          <w:sz w:val="24"/>
          <w:highlight w:val="none"/>
          <w:lang w:val="en-US" w:eastAsia="zh-CN"/>
        </w:rPr>
        <w:t>～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60℃；</w:t>
      </w:r>
    </w:p>
    <w:p w14:paraId="7818969A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5.3 传感器类型；高敏阵列薄膜型；</w:t>
      </w:r>
    </w:p>
    <w:p w14:paraId="1E21C11C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5.4 传感器直径：5mm；</w:t>
      </w:r>
    </w:p>
    <w:p w14:paraId="017470E5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5.5 传感器数量：不低于2500个；</w:t>
      </w:r>
    </w:p>
    <w:p w14:paraId="7B2E95F3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5.6 压感传输：Max 100 FPS；</w:t>
      </w:r>
    </w:p>
    <w:p w14:paraId="70BEC845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5.7 压感范围；0.1</w:t>
      </w:r>
      <w:r>
        <w:rPr>
          <w:rFonts w:hint="eastAsia" w:ascii="微软雅黑" w:hAnsi="微软雅黑" w:eastAsia="微软雅黑" w:cs="微软雅黑"/>
          <w:bCs/>
          <w:sz w:val="24"/>
          <w:highlight w:val="none"/>
          <w:lang w:val="en-US" w:eastAsia="zh-CN"/>
        </w:rPr>
        <w:t>～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5kg；</w:t>
      </w:r>
    </w:p>
    <w:p w14:paraId="317E089B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5.8 通讯方式：串口 VCP。</w:t>
      </w:r>
    </w:p>
    <w:p w14:paraId="3D186864">
      <w:pPr>
        <w:spacing w:line="500" w:lineRule="exact"/>
        <w:ind w:firstLine="241" w:firstLineChars="100"/>
        <w:rPr>
          <w:rFonts w:hint="eastAsia" w:ascii="宋体" w:hAnsi="宋体" w:eastAsia="宋体" w:cs="宋体"/>
          <w:b/>
          <w:bCs w:val="0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24"/>
          <w:highlight w:val="none"/>
          <w:lang w:val="en-US" w:eastAsia="zh-CN"/>
        </w:rPr>
        <w:t>6.三维足底扫描仪：</w:t>
      </w:r>
    </w:p>
    <w:p w14:paraId="45CF0E39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6.1 需为激光足底扫描仪；</w:t>
      </w:r>
    </w:p>
    <w:p w14:paraId="736A0A1E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6.2 产品功能:矫正鞋垫设计，足底模型的数据采集；</w:t>
      </w:r>
    </w:p>
    <w:p w14:paraId="08EAF342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6.3 备双模式扫描能力，激光扫描和白光拍照式扫描模；</w:t>
      </w:r>
    </w:p>
    <w:p w14:paraId="45E42A4B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6.4 ▲扫描数据与原脚形高度吻合，扫描的三维模型数据误差≤1mm；</w:t>
      </w:r>
    </w:p>
    <w:p w14:paraId="670364C7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6.5 ▲扫描能力：单程扫描时间≤5 秒，并可产生模型；</w:t>
      </w:r>
    </w:p>
    <w:p w14:paraId="65D8251E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6.6 扫描的模型可直接显示真彩足部效果(非单种或数种色彩)，除了能清晰显示足部模型外，还能显示足部实际颜色，照片级显示效果；</w:t>
      </w:r>
    </w:p>
    <w:p w14:paraId="2EAE888E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6.7扫描仪支持全负重，半负重，无负重足部扫描；</w:t>
      </w:r>
    </w:p>
    <w:p w14:paraId="09AC84D2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6.8扫描仪支持脚形石膏模扫描；</w:t>
      </w:r>
    </w:p>
    <w:p w14:paraId="20E0C043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6.9支持凹面脚型取模盒的扫描；</w:t>
      </w:r>
    </w:p>
    <w:p w14:paraId="43F9EF91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6.10可以通过色彩阴影分析足部高度；</w:t>
      </w:r>
    </w:p>
    <w:p w14:paraId="66545183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6.11自动测量足部关键数据及关键位置；</w:t>
      </w:r>
    </w:p>
    <w:p w14:paraId="214D72A9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6.12自动完成脚型数据分析，并显示报告；</w:t>
      </w:r>
    </w:p>
    <w:p w14:paraId="6FC57FE5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6.13可输出STL，WRL数据，以便在其他矫正鞋垫设软件中应用； </w:t>
      </w:r>
    </w:p>
    <w:p w14:paraId="3E4D7D29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6.14 ▲具备后置激光检测线，可检测足部后跟最否存在内外翻情况；</w:t>
      </w:r>
    </w:p>
    <w:p w14:paraId="2147F8BA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6.15 ▲具有前置激光检测线，帮助判断是否处于足部中立位；</w:t>
      </w:r>
    </w:p>
    <w:p w14:paraId="4A4E4B9A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6.16 具备脚踏开关触发扫描，即使不需要按软件扫描功能按钮;也能通过脚踏开关触发扫描功能;</w:t>
      </w:r>
    </w:p>
    <w:p w14:paraId="1C49FF27">
      <w:pPr>
        <w:spacing w:line="500" w:lineRule="exact"/>
        <w:ind w:firstLine="241" w:firstLineChars="100"/>
        <w:rPr>
          <w:rFonts w:hint="eastAsia" w:ascii="宋体" w:hAnsi="宋体" w:eastAsia="宋体" w:cs="宋体"/>
          <w:b/>
          <w:bCs w:val="0"/>
          <w:sz w:val="24"/>
          <w:highlight w:val="none"/>
        </w:rPr>
      </w:pPr>
      <w:r>
        <w:rPr>
          <w:rFonts w:hint="eastAsia" w:ascii="宋体" w:hAnsi="宋体" w:eastAsia="宋体" w:cs="宋体"/>
          <w:b/>
          <w:bCs w:val="0"/>
          <w:sz w:val="24"/>
          <w:highlight w:val="none"/>
          <w:lang w:val="en-US" w:eastAsia="zh-CN"/>
        </w:rPr>
        <w:t>7.便携式姿态影像分析系统：</w:t>
      </w:r>
    </w:p>
    <w:p w14:paraId="406143C4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7.1 该设备需轻便，图像显示清晰，需实现便于携带入校检查等功能，需提供至少12项指标：如头颈前倾度、头颈平衡度、圆肩度、肩平衡、脊柱侧弯度、骨盆倾斜度、髋关平衡、膝关节内外翻（双侧）、膝过伸、人体重心垂直移动、人体重心水平移动；</w:t>
      </w:r>
    </w:p>
    <w:p w14:paraId="24B1D09A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7.2 检测精密度，误差率≤5%；</w:t>
      </w:r>
    </w:p>
    <w:p w14:paraId="1E583DA7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7.3 可分别对人体矢状面和冠状面体态分析，所需影响时长≤6s；</w:t>
      </w:r>
    </w:p>
    <w:p w14:paraId="47FD4CA3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7.4 ▲使用云计算系统自动生成检测报告、可自动判定被检测者数据风险情况并给出康复评估建议，同时报告需支持在设备商查看，后台数据导出、查看、下载及打印等；</w:t>
      </w:r>
    </w:p>
    <w:p w14:paraId="0A97902D">
      <w:pPr>
        <w:spacing w:line="500" w:lineRule="exact"/>
        <w:ind w:firstLine="241" w:firstLineChars="100"/>
        <w:rPr>
          <w:rFonts w:hint="eastAsia" w:ascii="宋体" w:hAnsi="宋体" w:eastAsia="宋体" w:cs="宋体"/>
          <w:b/>
          <w:bCs w:val="0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24"/>
          <w:highlight w:val="none"/>
          <w:lang w:val="en-US" w:eastAsia="zh-CN"/>
        </w:rPr>
        <w:t>8.检测环境要求：</w:t>
      </w:r>
    </w:p>
    <w:p w14:paraId="576B9481">
      <w:pPr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8.1 </w:t>
      </w:r>
      <w:r>
        <w:rPr>
          <w:rFonts w:hint="eastAsia" w:ascii="宋体" w:hAnsi="宋体" w:eastAsia="宋体" w:cs="宋体"/>
          <w:bCs/>
          <w:sz w:val="24"/>
          <w:highlight w:val="none"/>
        </w:rPr>
        <w:t>检测用地≤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8</w:t>
      </w:r>
      <w:r>
        <w:rPr>
          <w:rFonts w:hint="eastAsia" w:ascii="宋体" w:hAnsi="宋体" w:eastAsia="宋体" w:cs="宋体"/>
          <w:bCs/>
          <w:sz w:val="24"/>
          <w:highlight w:val="none"/>
        </w:rPr>
        <w:t>㎡</w:t>
      </w: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；</w:t>
      </w:r>
    </w:p>
    <w:p w14:paraId="5DE94AFD">
      <w:pPr>
        <w:spacing w:line="500" w:lineRule="exact"/>
        <w:ind w:firstLine="240" w:firstLineChars="100"/>
        <w:rPr>
          <w:highlight w:val="none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 xml:space="preserve">8.2 </w:t>
      </w:r>
      <w:r>
        <w:rPr>
          <w:rFonts w:hint="eastAsia" w:ascii="宋体" w:hAnsi="宋体" w:eastAsia="宋体" w:cs="宋体"/>
          <w:bCs/>
          <w:sz w:val="24"/>
          <w:highlight w:val="none"/>
        </w:rPr>
        <w:t>受试者检测距离≤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bCs/>
          <w:sz w:val="24"/>
          <w:highlight w:val="none"/>
        </w:rPr>
        <w:t>M，支持受试者身高范围0.9-2.0M</w:t>
      </w:r>
      <w:r>
        <w:rPr>
          <w:rFonts w:hint="eastAsia" w:ascii="宋体" w:hAnsi="宋体" w:eastAsia="宋体" w:cs="宋体"/>
          <w:bCs/>
          <w:sz w:val="24"/>
          <w:highlight w:val="none"/>
          <w:lang w:eastAsia="zh-CN"/>
        </w:rPr>
        <w:t>；</w:t>
      </w:r>
    </w:p>
    <w:p w14:paraId="4C6BDFC6">
      <w:pPr>
        <w:spacing w:line="500" w:lineRule="exact"/>
        <w:ind w:firstLine="241" w:firstLineChars="100"/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24"/>
          <w:highlight w:val="none"/>
          <w:lang w:val="en-US" w:eastAsia="zh-CN"/>
        </w:rPr>
        <w:t>9.★配置要求：</w:t>
      </w:r>
    </w:p>
    <w:p w14:paraId="26193893">
      <w:pPr>
        <w:spacing w:line="500" w:lineRule="exact"/>
        <w:ind w:firstLine="480" w:firstLineChars="200"/>
        <w:rPr>
          <w:rFonts w:hint="default" w:ascii="宋体" w:hAnsi="宋体" w:eastAsia="宋体" w:cs="宋体"/>
          <w:bCs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整套系统需配置：主控机1台、工作站1套、姿态影像处理软件1套；姿态影像采集装置1台、姿态影像采集装置底座1台、地贴1张、足压板1台、便携式姿态影像处理系统2台、三维足底扫描仪2台。</w:t>
      </w:r>
    </w:p>
    <w:p w14:paraId="4C797395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jc w:val="left"/>
        <w:rPr>
          <w:rFonts w:ascii="宋体" w:hAnsi="宋体"/>
          <w:bCs/>
          <w:sz w:val="24"/>
          <w:highlight w:val="none"/>
        </w:rPr>
      </w:pPr>
    </w:p>
    <w:p w14:paraId="159B37E0">
      <w:pPr>
        <w:keepNext w:val="0"/>
        <w:keepLines w:val="0"/>
        <w:pageBreakBefore w:val="0"/>
        <w:numPr>
          <w:ilvl w:val="255"/>
          <w:numId w:val="0"/>
        </w:numPr>
        <w:kinsoku/>
        <w:overflowPunct/>
        <w:topLinePunct w:val="0"/>
        <w:autoSpaceDE/>
        <w:autoSpaceDN/>
        <w:bidi w:val="0"/>
        <w:spacing w:line="500" w:lineRule="exact"/>
        <w:jc w:val="left"/>
        <w:rPr>
          <w:rFonts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</w:p>
    <w:p w14:paraId="459ACC86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rPr>
          <w:highlight w:val="none"/>
        </w:rPr>
      </w:pPr>
      <w:bookmarkStart w:id="2" w:name="_GoBack"/>
      <w:bookmarkEnd w:id="2"/>
    </w:p>
    <w:sectPr>
      <w:footerReference r:id="rId3" w:type="default"/>
      <w:pgSz w:w="11906" w:h="16838"/>
      <w:pgMar w:top="1417" w:right="850" w:bottom="1417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2EF6B0">
    <w:pPr>
      <w:pStyle w:val="10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 w14:paraId="61955C1A">
                              <w:pPr>
                                <w:pStyle w:val="10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4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4DA6FC44">
                          <w:pPr>
                            <w:pStyle w:val="6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 w14:paraId="61955C1A">
                        <w:pPr>
                          <w:pStyle w:val="10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4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 w14:paraId="4DA6FC44">
                    <w:pPr>
                      <w:pStyle w:val="6"/>
                    </w:pPr>
                  </w:p>
                </w:txbxContent>
              </v:textbox>
            </v:shape>
          </w:pict>
        </mc:Fallback>
      </mc:AlternateContent>
    </w:r>
  </w:p>
  <w:p w14:paraId="0C9B2F9A">
    <w:pPr>
      <w:pStyle w:val="1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3347B1"/>
    <w:multiLevelType w:val="singleLevel"/>
    <w:tmpl w:val="AD3347B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4" w:tentative="0">
      <w:start w:val="0"/>
      <w:numFmt w:val="decimal"/>
      <w:pStyle w:val="33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2MjE2NWRiNWExODdlZTQ4NmVmMGRlZmE1OTlkMzc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B2E43"/>
    <w:rsid w:val="000C4153"/>
    <w:rsid w:val="000E0301"/>
    <w:rsid w:val="000E5E28"/>
    <w:rsid w:val="00100D59"/>
    <w:rsid w:val="00112B47"/>
    <w:rsid w:val="00113045"/>
    <w:rsid w:val="00133CBD"/>
    <w:rsid w:val="00142F57"/>
    <w:rsid w:val="00146B66"/>
    <w:rsid w:val="00147CDF"/>
    <w:rsid w:val="00173955"/>
    <w:rsid w:val="00192D51"/>
    <w:rsid w:val="001B1C6A"/>
    <w:rsid w:val="001B3AAF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70B70"/>
    <w:rsid w:val="002907C5"/>
    <w:rsid w:val="002967D8"/>
    <w:rsid w:val="002B32E9"/>
    <w:rsid w:val="002D170C"/>
    <w:rsid w:val="002D1CD4"/>
    <w:rsid w:val="002D288E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770D"/>
    <w:rsid w:val="004A6404"/>
    <w:rsid w:val="004B54FE"/>
    <w:rsid w:val="004C17CB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A2066"/>
    <w:rsid w:val="006B66D9"/>
    <w:rsid w:val="006C0796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55EEA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24B58"/>
    <w:rsid w:val="00837BCE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12BB5"/>
    <w:rsid w:val="00A218E6"/>
    <w:rsid w:val="00A22775"/>
    <w:rsid w:val="00A27486"/>
    <w:rsid w:val="00A41F0F"/>
    <w:rsid w:val="00A54F3C"/>
    <w:rsid w:val="00A57FD0"/>
    <w:rsid w:val="00A716F4"/>
    <w:rsid w:val="00A73043"/>
    <w:rsid w:val="00AA098A"/>
    <w:rsid w:val="00AA66BC"/>
    <w:rsid w:val="00AD0AB5"/>
    <w:rsid w:val="00AD7793"/>
    <w:rsid w:val="00B0488C"/>
    <w:rsid w:val="00B06CA9"/>
    <w:rsid w:val="00B12D10"/>
    <w:rsid w:val="00B140BC"/>
    <w:rsid w:val="00B21A3D"/>
    <w:rsid w:val="00B25892"/>
    <w:rsid w:val="00B33735"/>
    <w:rsid w:val="00B6313B"/>
    <w:rsid w:val="00B7786F"/>
    <w:rsid w:val="00B77C92"/>
    <w:rsid w:val="00B955DF"/>
    <w:rsid w:val="00BD4BA7"/>
    <w:rsid w:val="00BE1621"/>
    <w:rsid w:val="00BE40F8"/>
    <w:rsid w:val="00C05202"/>
    <w:rsid w:val="00C15486"/>
    <w:rsid w:val="00C22F6A"/>
    <w:rsid w:val="00C410D4"/>
    <w:rsid w:val="00C56658"/>
    <w:rsid w:val="00C6524B"/>
    <w:rsid w:val="00C65737"/>
    <w:rsid w:val="00C71D2D"/>
    <w:rsid w:val="00C72768"/>
    <w:rsid w:val="00C968E7"/>
    <w:rsid w:val="00C9710A"/>
    <w:rsid w:val="00CB1223"/>
    <w:rsid w:val="00CB7B28"/>
    <w:rsid w:val="00CC3CD6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DF21EC"/>
    <w:rsid w:val="00E149D3"/>
    <w:rsid w:val="00E16486"/>
    <w:rsid w:val="00E22E45"/>
    <w:rsid w:val="00E55820"/>
    <w:rsid w:val="00E72D00"/>
    <w:rsid w:val="00E92CCE"/>
    <w:rsid w:val="00EC101A"/>
    <w:rsid w:val="00ED2A8E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1261D95"/>
    <w:rsid w:val="01AF66BC"/>
    <w:rsid w:val="022C5D48"/>
    <w:rsid w:val="02967325"/>
    <w:rsid w:val="02DA5839"/>
    <w:rsid w:val="0343669F"/>
    <w:rsid w:val="03D9731E"/>
    <w:rsid w:val="04557B19"/>
    <w:rsid w:val="04682E6D"/>
    <w:rsid w:val="049912AC"/>
    <w:rsid w:val="04C61298"/>
    <w:rsid w:val="05A83606"/>
    <w:rsid w:val="05F62118"/>
    <w:rsid w:val="06380241"/>
    <w:rsid w:val="069F560A"/>
    <w:rsid w:val="07973EE6"/>
    <w:rsid w:val="07C246BF"/>
    <w:rsid w:val="07C94BE1"/>
    <w:rsid w:val="07DE6769"/>
    <w:rsid w:val="07E00A0F"/>
    <w:rsid w:val="0807296B"/>
    <w:rsid w:val="087F78BA"/>
    <w:rsid w:val="090367EA"/>
    <w:rsid w:val="095A6A56"/>
    <w:rsid w:val="09CA2C87"/>
    <w:rsid w:val="09CE4106"/>
    <w:rsid w:val="09E54036"/>
    <w:rsid w:val="0A325ADB"/>
    <w:rsid w:val="0B216CF4"/>
    <w:rsid w:val="0B353F6E"/>
    <w:rsid w:val="0C580A4E"/>
    <w:rsid w:val="0CCF0841"/>
    <w:rsid w:val="0E237614"/>
    <w:rsid w:val="0EF652A0"/>
    <w:rsid w:val="0F26150C"/>
    <w:rsid w:val="0F3436E0"/>
    <w:rsid w:val="0F6D5B99"/>
    <w:rsid w:val="0FAA6A76"/>
    <w:rsid w:val="0FEE4D13"/>
    <w:rsid w:val="1061346A"/>
    <w:rsid w:val="12100E62"/>
    <w:rsid w:val="12542DDE"/>
    <w:rsid w:val="137B38DC"/>
    <w:rsid w:val="146B53DF"/>
    <w:rsid w:val="151A349C"/>
    <w:rsid w:val="16AC0EAA"/>
    <w:rsid w:val="16D20FE6"/>
    <w:rsid w:val="17044079"/>
    <w:rsid w:val="17373CEB"/>
    <w:rsid w:val="17500414"/>
    <w:rsid w:val="177D1B56"/>
    <w:rsid w:val="182F4CA9"/>
    <w:rsid w:val="188C4A43"/>
    <w:rsid w:val="195C3707"/>
    <w:rsid w:val="1B040AF0"/>
    <w:rsid w:val="1B7F6894"/>
    <w:rsid w:val="1B811C08"/>
    <w:rsid w:val="1C004A55"/>
    <w:rsid w:val="1DD80BF7"/>
    <w:rsid w:val="1E8B6382"/>
    <w:rsid w:val="1E9268BE"/>
    <w:rsid w:val="1EFB394F"/>
    <w:rsid w:val="2086495D"/>
    <w:rsid w:val="20F56432"/>
    <w:rsid w:val="21012DCF"/>
    <w:rsid w:val="218E2A3A"/>
    <w:rsid w:val="22246CB4"/>
    <w:rsid w:val="23C96556"/>
    <w:rsid w:val="23D504F4"/>
    <w:rsid w:val="23E24D51"/>
    <w:rsid w:val="246F59E3"/>
    <w:rsid w:val="24DA7466"/>
    <w:rsid w:val="256746D6"/>
    <w:rsid w:val="25FA15A6"/>
    <w:rsid w:val="26B72586"/>
    <w:rsid w:val="27807BE0"/>
    <w:rsid w:val="29DA40B8"/>
    <w:rsid w:val="29FD5AAD"/>
    <w:rsid w:val="2B4F2CEF"/>
    <w:rsid w:val="2BBC1282"/>
    <w:rsid w:val="2C723060"/>
    <w:rsid w:val="2CF35149"/>
    <w:rsid w:val="2DC8218D"/>
    <w:rsid w:val="2DE95739"/>
    <w:rsid w:val="2E102ABB"/>
    <w:rsid w:val="2F5659F3"/>
    <w:rsid w:val="2FE55F1B"/>
    <w:rsid w:val="30191AD6"/>
    <w:rsid w:val="30FB7E9E"/>
    <w:rsid w:val="323325C4"/>
    <w:rsid w:val="324E0614"/>
    <w:rsid w:val="328B017F"/>
    <w:rsid w:val="3292324B"/>
    <w:rsid w:val="329342B5"/>
    <w:rsid w:val="32C1268D"/>
    <w:rsid w:val="35006E33"/>
    <w:rsid w:val="360B655D"/>
    <w:rsid w:val="3794592A"/>
    <w:rsid w:val="38B05953"/>
    <w:rsid w:val="38B745E0"/>
    <w:rsid w:val="393671C3"/>
    <w:rsid w:val="39D45C36"/>
    <w:rsid w:val="3A1640E8"/>
    <w:rsid w:val="3A8B6411"/>
    <w:rsid w:val="3B9D6276"/>
    <w:rsid w:val="3BFA37AC"/>
    <w:rsid w:val="3C937993"/>
    <w:rsid w:val="3D4663AF"/>
    <w:rsid w:val="3E8576EC"/>
    <w:rsid w:val="3F703160"/>
    <w:rsid w:val="3FA52852"/>
    <w:rsid w:val="3FC91C02"/>
    <w:rsid w:val="407C7408"/>
    <w:rsid w:val="411E528A"/>
    <w:rsid w:val="41936CCC"/>
    <w:rsid w:val="419E4D6E"/>
    <w:rsid w:val="41BD651D"/>
    <w:rsid w:val="423934A4"/>
    <w:rsid w:val="42621BDA"/>
    <w:rsid w:val="42C159A0"/>
    <w:rsid w:val="42E70D20"/>
    <w:rsid w:val="435B4FED"/>
    <w:rsid w:val="435C1AAA"/>
    <w:rsid w:val="43923A02"/>
    <w:rsid w:val="43B17106"/>
    <w:rsid w:val="44FF23DB"/>
    <w:rsid w:val="45DB5113"/>
    <w:rsid w:val="45FA22EB"/>
    <w:rsid w:val="460B369C"/>
    <w:rsid w:val="46675EA7"/>
    <w:rsid w:val="46986527"/>
    <w:rsid w:val="471F4DD5"/>
    <w:rsid w:val="48E65B64"/>
    <w:rsid w:val="490907D4"/>
    <w:rsid w:val="4931425C"/>
    <w:rsid w:val="49974FAF"/>
    <w:rsid w:val="49AC6DDF"/>
    <w:rsid w:val="4A7E1328"/>
    <w:rsid w:val="4B623F21"/>
    <w:rsid w:val="4D744DB2"/>
    <w:rsid w:val="4D7A092A"/>
    <w:rsid w:val="4EBA0170"/>
    <w:rsid w:val="4FBD2120"/>
    <w:rsid w:val="4FD65049"/>
    <w:rsid w:val="50CB7074"/>
    <w:rsid w:val="511A355D"/>
    <w:rsid w:val="513762CB"/>
    <w:rsid w:val="51950AC2"/>
    <w:rsid w:val="51DB5939"/>
    <w:rsid w:val="53AB2F4B"/>
    <w:rsid w:val="53E94A32"/>
    <w:rsid w:val="55B5596C"/>
    <w:rsid w:val="56D145E5"/>
    <w:rsid w:val="57003156"/>
    <w:rsid w:val="58885FE0"/>
    <w:rsid w:val="5905525D"/>
    <w:rsid w:val="59A61C5F"/>
    <w:rsid w:val="59D75EB0"/>
    <w:rsid w:val="5A2F5580"/>
    <w:rsid w:val="5A493582"/>
    <w:rsid w:val="5A7E7600"/>
    <w:rsid w:val="5AAD0A57"/>
    <w:rsid w:val="5BB61575"/>
    <w:rsid w:val="5D1024FF"/>
    <w:rsid w:val="5DBD70E7"/>
    <w:rsid w:val="5EA6596C"/>
    <w:rsid w:val="5ED65EE2"/>
    <w:rsid w:val="5F141197"/>
    <w:rsid w:val="6066691B"/>
    <w:rsid w:val="61F31C9B"/>
    <w:rsid w:val="62146F60"/>
    <w:rsid w:val="62F2388B"/>
    <w:rsid w:val="637B3DE7"/>
    <w:rsid w:val="63934138"/>
    <w:rsid w:val="63DB63D1"/>
    <w:rsid w:val="65E158A6"/>
    <w:rsid w:val="68E06C2C"/>
    <w:rsid w:val="68FD23E4"/>
    <w:rsid w:val="69B42AF7"/>
    <w:rsid w:val="69E41B3B"/>
    <w:rsid w:val="6B4E5B09"/>
    <w:rsid w:val="6BBB0CC6"/>
    <w:rsid w:val="6C4838F4"/>
    <w:rsid w:val="6E582E85"/>
    <w:rsid w:val="6EB1235D"/>
    <w:rsid w:val="6F520277"/>
    <w:rsid w:val="6F9B6713"/>
    <w:rsid w:val="6FCB75A0"/>
    <w:rsid w:val="70BF5C7A"/>
    <w:rsid w:val="70DF1AC2"/>
    <w:rsid w:val="729A42C4"/>
    <w:rsid w:val="731E7004"/>
    <w:rsid w:val="73535858"/>
    <w:rsid w:val="73B97203"/>
    <w:rsid w:val="73BD7DF0"/>
    <w:rsid w:val="743215EF"/>
    <w:rsid w:val="75CD0D5C"/>
    <w:rsid w:val="764E0276"/>
    <w:rsid w:val="7807665E"/>
    <w:rsid w:val="7A016EB6"/>
    <w:rsid w:val="7B7754C9"/>
    <w:rsid w:val="7C26177D"/>
    <w:rsid w:val="7C8E374D"/>
    <w:rsid w:val="7D01208A"/>
    <w:rsid w:val="7DC5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7"/>
    <w:autoRedefine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200" w:firstLineChars="200"/>
    </w:pPr>
  </w:style>
  <w:style w:type="paragraph" w:styleId="5">
    <w:name w:val="annotation text"/>
    <w:basedOn w:val="1"/>
    <w:semiHidden/>
    <w:unhideWhenUsed/>
    <w:qFormat/>
    <w:uiPriority w:val="99"/>
    <w:pPr>
      <w:jc w:val="left"/>
    </w:pPr>
  </w:style>
  <w:style w:type="paragraph" w:styleId="6">
    <w:name w:val="Body Text"/>
    <w:basedOn w:val="1"/>
    <w:qFormat/>
    <w:uiPriority w:val="0"/>
    <w:pPr>
      <w:spacing w:after="120"/>
    </w:pPr>
  </w:style>
  <w:style w:type="paragraph" w:styleId="7">
    <w:name w:val="Plain Text"/>
    <w:basedOn w:val="1"/>
    <w:next w:val="1"/>
    <w:autoRedefine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  <w:style w:type="paragraph" w:styleId="8">
    <w:name w:val="Date"/>
    <w:basedOn w:val="1"/>
    <w:next w:val="1"/>
    <w:semiHidden/>
    <w:unhideWhenUsed/>
    <w:qFormat/>
    <w:uiPriority w:val="99"/>
    <w:pPr>
      <w:ind w:left="100" w:leftChars="2500"/>
    </w:pPr>
  </w:style>
  <w:style w:type="paragraph" w:styleId="9">
    <w:name w:val="Balloon Text"/>
    <w:basedOn w:val="1"/>
    <w:link w:val="30"/>
    <w:semiHidden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25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4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4">
    <w:name w:val="table of figures"/>
    <w:basedOn w:val="1"/>
    <w:next w:val="1"/>
    <w:unhideWhenUsed/>
    <w:qFormat/>
    <w:uiPriority w:val="99"/>
    <w:pPr>
      <w:ind w:left="200" w:leftChars="200" w:hanging="200" w:hangingChars="200"/>
    </w:pPr>
  </w:style>
  <w:style w:type="paragraph" w:styleId="15">
    <w:name w:val="Normal (Web)"/>
    <w:basedOn w:val="1"/>
    <w:autoRedefine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6">
    <w:name w:val="Body Text First Indent"/>
    <w:basedOn w:val="6"/>
    <w:autoRedefine/>
    <w:qFormat/>
    <w:uiPriority w:val="99"/>
    <w:pPr>
      <w:ind w:firstLine="420" w:firstLineChars="100"/>
    </w:pPr>
  </w:style>
  <w:style w:type="table" w:styleId="18">
    <w:name w:val="Table Grid"/>
    <w:basedOn w:val="17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Strong"/>
    <w:autoRedefine/>
    <w:qFormat/>
    <w:uiPriority w:val="0"/>
    <w:rPr>
      <w:b/>
      <w:bCs/>
    </w:rPr>
  </w:style>
  <w:style w:type="character" w:styleId="21">
    <w:name w:val="page number"/>
    <w:autoRedefine/>
    <w:qFormat/>
    <w:uiPriority w:val="0"/>
  </w:style>
  <w:style w:type="character" w:styleId="22">
    <w:name w:val="Hyperlink"/>
    <w:basedOn w:val="19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3">
    <w:name w:val="annotation reference"/>
    <w:basedOn w:val="19"/>
    <w:semiHidden/>
    <w:unhideWhenUsed/>
    <w:qFormat/>
    <w:uiPriority w:val="99"/>
    <w:rPr>
      <w:sz w:val="21"/>
      <w:szCs w:val="21"/>
    </w:rPr>
  </w:style>
  <w:style w:type="character" w:customStyle="1" w:styleId="24">
    <w:name w:val="页眉 字符"/>
    <w:basedOn w:val="19"/>
    <w:link w:val="11"/>
    <w:qFormat/>
    <w:uiPriority w:val="99"/>
    <w:rPr>
      <w:sz w:val="18"/>
      <w:szCs w:val="18"/>
    </w:rPr>
  </w:style>
  <w:style w:type="character" w:customStyle="1" w:styleId="25">
    <w:name w:val="页脚 字符"/>
    <w:basedOn w:val="19"/>
    <w:link w:val="10"/>
    <w:autoRedefine/>
    <w:qFormat/>
    <w:uiPriority w:val="99"/>
    <w:rPr>
      <w:sz w:val="18"/>
      <w:szCs w:val="18"/>
    </w:rPr>
  </w:style>
  <w:style w:type="paragraph" w:styleId="26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27">
    <w:name w:val="标题 2 字符"/>
    <w:basedOn w:val="19"/>
    <w:link w:val="3"/>
    <w:autoRedefine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8">
    <w:name w:val="列出段落 Char"/>
    <w:link w:val="29"/>
    <w:autoRedefine/>
    <w:qFormat/>
    <w:uiPriority w:val="34"/>
    <w:rPr>
      <w:rFonts w:ascii="宋体" w:hAnsi="宋体" w:cs="宋体"/>
      <w:sz w:val="24"/>
      <w:szCs w:val="24"/>
    </w:rPr>
  </w:style>
  <w:style w:type="paragraph" w:customStyle="1" w:styleId="29">
    <w:name w:val="列出段落1"/>
    <w:basedOn w:val="1"/>
    <w:link w:val="28"/>
    <w:autoRedefine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30">
    <w:name w:val="批注框文本 字符"/>
    <w:basedOn w:val="19"/>
    <w:link w:val="9"/>
    <w:autoRedefine/>
    <w:semiHidden/>
    <w:qFormat/>
    <w:uiPriority w:val="99"/>
    <w:rPr>
      <w:sz w:val="18"/>
      <w:szCs w:val="18"/>
    </w:rPr>
  </w:style>
  <w:style w:type="character" w:customStyle="1" w:styleId="31">
    <w:name w:val="font1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2">
    <w:name w:val="font0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paragraph" w:customStyle="1" w:styleId="33">
    <w:name w:val="标题 5（有编号）（绿盟科技）"/>
    <w:basedOn w:val="1"/>
    <w:next w:val="34"/>
    <w:autoRedefine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34">
    <w:name w:val="正文（绿盟科技）"/>
    <w:autoRedefine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customStyle="1" w:styleId="35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36">
    <w:name w:val="样式 首行缩进:  2 字符"/>
    <w:basedOn w:val="1"/>
    <w:autoRedefine/>
    <w:qFormat/>
    <w:uiPriority w:val="99"/>
    <w:pPr>
      <w:spacing w:line="400" w:lineRule="exact"/>
      <w:ind w:firstLine="200" w:firstLineChars="200"/>
    </w:pPr>
    <w:rPr>
      <w:rFonts w:cs="宋体"/>
      <w:sz w:val="24"/>
    </w:rPr>
  </w:style>
  <w:style w:type="paragraph" w:customStyle="1" w:styleId="37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Han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905DA4-CE3F-42EF-A16E-3EEC595B68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3778</Words>
  <Characters>4195</Characters>
  <Lines>51</Lines>
  <Paragraphs>14</Paragraphs>
  <TotalTime>2</TotalTime>
  <ScaleCrop>false</ScaleCrop>
  <LinksUpToDate>false</LinksUpToDate>
  <CharactersWithSpaces>4286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2024-03-13T04:29:00Z</dcterms:created>
  <dc:creator>HOUQING</dc:creator>
  <cp:lastModifiedBy>cs</cp:lastModifiedBy>
  <cp:lastPrinted>2024-10-23T09:45:00Z</cp:lastPrinted>
  <dcterms:modified xsi:type="dcterms:W3CDTF">2024-10-25T04:43:35Z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B37B774ADC094AD28AC7D38B3A8865E4_13</vt:lpwstr>
  </property>
  <property fmtid="{D5CDD505-2E9C-101B-9397-08002B2CF9AE}" pid="4" name="commondata">
    <vt:lpwstr>eyJoZGlkIjoiNGFhNjBkNjkwYzVkMGJlYjhkODdmZTMyNDY5NTA5YWUifQ==</vt:lpwstr>
  </property>
</Properties>
</file>