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DA81B3">
      <w:pPr>
        <w:keepNext w:val="0"/>
        <w:keepLines w:val="0"/>
        <w:pageBreakBefore w:val="0"/>
        <w:kinsoku/>
        <w:overflowPunct/>
        <w:topLinePunct w:val="0"/>
        <w:autoSpaceDE/>
        <w:autoSpaceDN/>
        <w:bidi w:val="0"/>
        <w:spacing w:line="500" w:lineRule="exact"/>
        <w:jc w:val="left"/>
        <w:rPr>
          <w:rFonts w:ascii="华文中宋" w:hAnsi="华文中宋" w:eastAsia="华文中宋"/>
          <w:b/>
          <w:sz w:val="32"/>
          <w:highlight w:val="none"/>
        </w:rPr>
      </w:pPr>
      <w:bookmarkStart w:id="0" w:name="_Hlt101843627"/>
      <w:bookmarkEnd w:id="0"/>
      <w:bookmarkStart w:id="1" w:name="_Hlt101233737"/>
      <w:bookmarkEnd w:id="1"/>
      <w:r>
        <w:rPr>
          <w:rFonts w:hint="eastAsia" w:ascii="华文中宋" w:hAnsi="华文中宋" w:eastAsia="华文中宋"/>
          <w:b/>
          <w:sz w:val="32"/>
          <w:highlight w:val="none"/>
        </w:rPr>
        <w:t>附件三：综合评分明细表</w:t>
      </w:r>
    </w:p>
    <w:tbl>
      <w:tblPr>
        <w:tblStyle w:val="17"/>
        <w:tblpPr w:leftFromText="180" w:rightFromText="180" w:vertAnchor="text" w:tblpX="-195" w:tblpY="1"/>
        <w:tblOverlap w:val="never"/>
        <w:tblW w:w="108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5"/>
        <w:gridCol w:w="795"/>
        <w:gridCol w:w="6135"/>
        <w:gridCol w:w="810"/>
        <w:gridCol w:w="1200"/>
      </w:tblGrid>
      <w:tr w14:paraId="23818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75" w:type="dxa"/>
            <w:vAlign w:val="center"/>
          </w:tcPr>
          <w:p w14:paraId="687D0853">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序号</w:t>
            </w:r>
          </w:p>
        </w:tc>
        <w:tc>
          <w:tcPr>
            <w:tcW w:w="1275" w:type="dxa"/>
            <w:vAlign w:val="center"/>
          </w:tcPr>
          <w:p w14:paraId="6968F3AF">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评分因素</w:t>
            </w:r>
          </w:p>
          <w:p w14:paraId="362C632E">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及权重</w:t>
            </w:r>
          </w:p>
        </w:tc>
        <w:tc>
          <w:tcPr>
            <w:tcW w:w="795" w:type="dxa"/>
            <w:vAlign w:val="center"/>
          </w:tcPr>
          <w:p w14:paraId="0A8DF171">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分值</w:t>
            </w:r>
          </w:p>
        </w:tc>
        <w:tc>
          <w:tcPr>
            <w:tcW w:w="6135" w:type="dxa"/>
            <w:vAlign w:val="center"/>
          </w:tcPr>
          <w:p w14:paraId="681C68EC">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评分标准</w:t>
            </w:r>
          </w:p>
        </w:tc>
        <w:tc>
          <w:tcPr>
            <w:tcW w:w="810" w:type="dxa"/>
            <w:vAlign w:val="center"/>
          </w:tcPr>
          <w:p w14:paraId="7D98A647">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备注</w:t>
            </w:r>
          </w:p>
        </w:tc>
        <w:tc>
          <w:tcPr>
            <w:tcW w:w="1200" w:type="dxa"/>
            <w:vAlign w:val="center"/>
          </w:tcPr>
          <w:p w14:paraId="698BC42B">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说明</w:t>
            </w:r>
          </w:p>
        </w:tc>
      </w:tr>
      <w:tr w14:paraId="0555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675" w:type="dxa"/>
            <w:vAlign w:val="center"/>
          </w:tcPr>
          <w:p w14:paraId="546ED8CA">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1</w:t>
            </w:r>
          </w:p>
        </w:tc>
        <w:tc>
          <w:tcPr>
            <w:tcW w:w="1275" w:type="dxa"/>
            <w:vAlign w:val="center"/>
          </w:tcPr>
          <w:p w14:paraId="27416AAC">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p>
          <w:p w14:paraId="125CEB83">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报价</w:t>
            </w:r>
            <w:r>
              <w:rPr>
                <w:rFonts w:ascii="仿宋" w:hAnsi="仿宋" w:eastAsia="仿宋"/>
                <w:szCs w:val="21"/>
                <w:highlight w:val="none"/>
              </w:rPr>
              <w:t>30</w:t>
            </w:r>
            <w:r>
              <w:rPr>
                <w:rFonts w:hint="eastAsia" w:ascii="仿宋" w:hAnsi="仿宋" w:eastAsia="仿宋"/>
                <w:szCs w:val="21"/>
                <w:highlight w:val="none"/>
              </w:rPr>
              <w:t>%（30分）</w:t>
            </w:r>
          </w:p>
          <w:p w14:paraId="1FC8C1A0">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p>
        </w:tc>
        <w:tc>
          <w:tcPr>
            <w:tcW w:w="795" w:type="dxa"/>
            <w:vAlign w:val="center"/>
          </w:tcPr>
          <w:p w14:paraId="1E8F53B9">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ascii="仿宋" w:hAnsi="仿宋" w:eastAsia="仿宋"/>
                <w:szCs w:val="21"/>
                <w:highlight w:val="none"/>
              </w:rPr>
              <w:t>30</w:t>
            </w:r>
            <w:r>
              <w:rPr>
                <w:rFonts w:hint="eastAsia" w:ascii="仿宋" w:hAnsi="仿宋" w:eastAsia="仿宋"/>
                <w:szCs w:val="21"/>
                <w:highlight w:val="none"/>
              </w:rPr>
              <w:t>分</w:t>
            </w:r>
          </w:p>
        </w:tc>
        <w:tc>
          <w:tcPr>
            <w:tcW w:w="6135" w:type="dxa"/>
            <w:vAlign w:val="center"/>
          </w:tcPr>
          <w:p w14:paraId="514EAD52">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 xml:space="preserve">满足招标文件要求且投标价格最低的报价为基准价，其价格分为满分。其他供应商的价格分统一按照下列公式计算：报价得分=(基准价／报价)* </w:t>
            </w:r>
            <w:r>
              <w:rPr>
                <w:rFonts w:ascii="仿宋" w:hAnsi="仿宋" w:eastAsia="仿宋"/>
                <w:szCs w:val="21"/>
                <w:highlight w:val="none"/>
              </w:rPr>
              <w:t>30</w:t>
            </w:r>
            <w:r>
              <w:rPr>
                <w:rFonts w:hint="eastAsia" w:ascii="仿宋" w:hAnsi="仿宋" w:eastAsia="仿宋"/>
                <w:szCs w:val="21"/>
                <w:highlight w:val="none"/>
              </w:rPr>
              <w:t>%*100</w:t>
            </w:r>
          </w:p>
        </w:tc>
        <w:tc>
          <w:tcPr>
            <w:tcW w:w="810" w:type="dxa"/>
            <w:vAlign w:val="center"/>
          </w:tcPr>
          <w:p w14:paraId="69C561AB">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w:t>
            </w:r>
          </w:p>
        </w:tc>
        <w:tc>
          <w:tcPr>
            <w:tcW w:w="1200" w:type="dxa"/>
            <w:vAlign w:val="center"/>
          </w:tcPr>
          <w:p w14:paraId="4FF880E2">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主要评分因素</w:t>
            </w:r>
          </w:p>
        </w:tc>
      </w:tr>
      <w:tr w14:paraId="1FA2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2" w:hRule="atLeast"/>
        </w:trPr>
        <w:tc>
          <w:tcPr>
            <w:tcW w:w="675" w:type="dxa"/>
            <w:vAlign w:val="center"/>
          </w:tcPr>
          <w:p w14:paraId="3E51507C">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2</w:t>
            </w:r>
          </w:p>
        </w:tc>
        <w:tc>
          <w:tcPr>
            <w:tcW w:w="1275" w:type="dxa"/>
            <w:vAlign w:val="center"/>
          </w:tcPr>
          <w:p w14:paraId="673BB03B">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技术、服务要求</w:t>
            </w:r>
            <w:r>
              <w:rPr>
                <w:rFonts w:hint="eastAsia" w:ascii="仿宋" w:hAnsi="仿宋" w:eastAsia="仿宋"/>
                <w:szCs w:val="21"/>
                <w:highlight w:val="none"/>
                <w:lang w:val="en-US" w:eastAsia="zh-CN"/>
              </w:rPr>
              <w:t>6</w:t>
            </w:r>
            <w:r>
              <w:rPr>
                <w:rFonts w:hint="eastAsia" w:ascii="仿宋" w:hAnsi="仿宋" w:eastAsia="仿宋"/>
                <w:szCs w:val="21"/>
                <w:highlight w:val="none"/>
              </w:rPr>
              <w:t>0%   （</w:t>
            </w:r>
            <w:r>
              <w:rPr>
                <w:rFonts w:hint="eastAsia" w:ascii="仿宋" w:hAnsi="仿宋" w:eastAsia="仿宋"/>
                <w:szCs w:val="21"/>
                <w:highlight w:val="none"/>
                <w:lang w:val="en-US" w:eastAsia="zh-CN"/>
              </w:rPr>
              <w:t>60</w:t>
            </w:r>
            <w:r>
              <w:rPr>
                <w:rFonts w:hint="eastAsia" w:ascii="仿宋" w:hAnsi="仿宋" w:eastAsia="仿宋"/>
                <w:szCs w:val="21"/>
                <w:highlight w:val="none"/>
              </w:rPr>
              <w:t>分）</w:t>
            </w:r>
          </w:p>
        </w:tc>
        <w:tc>
          <w:tcPr>
            <w:tcW w:w="795" w:type="dxa"/>
            <w:vAlign w:val="center"/>
          </w:tcPr>
          <w:p w14:paraId="107E4454">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lang w:val="en-US" w:eastAsia="zh-CN"/>
              </w:rPr>
              <w:t>60</w:t>
            </w:r>
            <w:r>
              <w:rPr>
                <w:rFonts w:hint="eastAsia" w:ascii="仿宋" w:hAnsi="仿宋" w:eastAsia="仿宋"/>
                <w:szCs w:val="21"/>
                <w:highlight w:val="none"/>
              </w:rPr>
              <w:t>分</w:t>
            </w:r>
          </w:p>
        </w:tc>
        <w:tc>
          <w:tcPr>
            <w:tcW w:w="6135" w:type="dxa"/>
            <w:vAlign w:val="center"/>
          </w:tcPr>
          <w:p w14:paraId="64E83B59">
            <w:pPr>
              <w:keepNext w:val="0"/>
              <w:keepLines w:val="0"/>
              <w:pageBreakBefore w:val="0"/>
              <w:numPr>
                <w:ilvl w:val="255"/>
                <w:numId w:val="0"/>
              </w:numPr>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投标人针对技术参数条款的响应得分规则如下：</w:t>
            </w:r>
          </w:p>
          <w:p w14:paraId="798E9621">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1.一般技术参数条款响应得分=（投标人满足一般技术参数条款的数量÷对应包件中一般技术参数条款的总数量）×</w:t>
            </w:r>
            <w:r>
              <w:rPr>
                <w:rFonts w:hint="eastAsia" w:ascii="仿宋" w:hAnsi="仿宋" w:eastAsia="仿宋"/>
                <w:szCs w:val="21"/>
                <w:highlight w:val="none"/>
                <w:lang w:val="en-US" w:eastAsia="zh-CN"/>
              </w:rPr>
              <w:t>30</w:t>
            </w:r>
            <w:r>
              <w:rPr>
                <w:rFonts w:hint="eastAsia" w:ascii="仿宋" w:hAnsi="仿宋" w:eastAsia="仿宋"/>
                <w:szCs w:val="21"/>
                <w:highlight w:val="none"/>
              </w:rPr>
              <w:t>分。一般技术参数条款：</w:t>
            </w:r>
            <w:r>
              <w:rPr>
                <w:rFonts w:hint="eastAsia" w:ascii="仿宋" w:hAnsi="仿宋" w:eastAsia="仿宋"/>
                <w:szCs w:val="21"/>
                <w:highlight w:val="none"/>
                <w:lang w:val="en-US" w:eastAsia="zh-CN"/>
              </w:rPr>
              <w:t>40</w:t>
            </w:r>
            <w:r>
              <w:rPr>
                <w:rFonts w:hint="eastAsia" w:ascii="仿宋" w:hAnsi="仿宋" w:eastAsia="仿宋"/>
                <w:szCs w:val="21"/>
                <w:highlight w:val="none"/>
              </w:rPr>
              <w:t>条。</w:t>
            </w:r>
          </w:p>
          <w:p w14:paraId="4B77A677">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2.投标人针对“”技术参数条款的响应得分规则如下：</w:t>
            </w:r>
          </w:p>
          <w:p w14:paraId="03A121D3">
            <w:pPr>
              <w:keepNext w:val="0"/>
              <w:keepLines w:val="0"/>
              <w:pageBreakBefore w:val="0"/>
              <w:kinsoku/>
              <w:overflowPunct/>
              <w:topLinePunct w:val="0"/>
              <w:autoSpaceDE/>
              <w:autoSpaceDN/>
              <w:bidi w:val="0"/>
              <w:spacing w:line="500" w:lineRule="exact"/>
              <w:rPr>
                <w:rFonts w:hint="eastAsia" w:ascii="仿宋" w:hAnsi="仿宋" w:eastAsia="仿宋"/>
                <w:szCs w:val="21"/>
                <w:highlight w:val="none"/>
              </w:rPr>
            </w:pPr>
            <w:r>
              <w:rPr>
                <w:rFonts w:hint="eastAsia" w:ascii="仿宋" w:hAnsi="仿宋" w:eastAsia="仿宋"/>
                <w:szCs w:val="21"/>
                <w:highlight w:val="none"/>
              </w:rPr>
              <w:t>“</w:t>
            </w:r>
            <w:r>
              <w:rPr>
                <w:rFonts w:hint="eastAsia" w:ascii="宋体" w:hAnsi="宋体"/>
                <w:bCs/>
                <w:szCs w:val="21"/>
                <w:highlight w:val="none"/>
              </w:rPr>
              <w:t>▲</w:t>
            </w:r>
            <w:r>
              <w:rPr>
                <w:rFonts w:hint="eastAsia" w:ascii="仿宋" w:hAnsi="仿宋" w:eastAsia="仿宋"/>
                <w:szCs w:val="21"/>
                <w:highlight w:val="none"/>
              </w:rPr>
              <w:t>”技术参数条款响应得分=（投标人满足“</w:t>
            </w:r>
            <w:r>
              <w:rPr>
                <w:rFonts w:hint="eastAsia" w:ascii="宋体" w:hAnsi="宋体"/>
                <w:bCs/>
                <w:szCs w:val="21"/>
                <w:highlight w:val="none"/>
              </w:rPr>
              <w:t>▲</w:t>
            </w:r>
            <w:r>
              <w:rPr>
                <w:rFonts w:hint="eastAsia" w:ascii="仿宋" w:hAnsi="仿宋" w:eastAsia="仿宋"/>
                <w:szCs w:val="21"/>
                <w:highlight w:val="none"/>
              </w:rPr>
              <w:t>”技术参数条款的数量÷对应包件中“</w:t>
            </w:r>
            <w:r>
              <w:rPr>
                <w:rFonts w:hint="eastAsia" w:ascii="宋体" w:hAnsi="宋体"/>
                <w:bCs/>
                <w:szCs w:val="21"/>
                <w:highlight w:val="none"/>
              </w:rPr>
              <w:t>▲</w:t>
            </w:r>
            <w:r>
              <w:rPr>
                <w:rFonts w:hint="eastAsia" w:ascii="仿宋" w:hAnsi="仿宋" w:eastAsia="仿宋"/>
                <w:szCs w:val="21"/>
                <w:highlight w:val="none"/>
              </w:rPr>
              <w:t>”技术参数条款的总数量）×</w:t>
            </w:r>
            <w:r>
              <w:rPr>
                <w:rFonts w:hint="eastAsia" w:ascii="仿宋" w:hAnsi="仿宋" w:eastAsia="仿宋"/>
                <w:szCs w:val="21"/>
                <w:highlight w:val="none"/>
                <w:lang w:val="en-US" w:eastAsia="zh-CN"/>
              </w:rPr>
              <w:t>30</w:t>
            </w:r>
            <w:r>
              <w:rPr>
                <w:rFonts w:hint="eastAsia" w:ascii="仿宋" w:hAnsi="仿宋" w:eastAsia="仿宋"/>
                <w:szCs w:val="21"/>
                <w:highlight w:val="none"/>
              </w:rPr>
              <w:t>分。“</w:t>
            </w:r>
            <w:r>
              <w:rPr>
                <w:rFonts w:hint="eastAsia" w:ascii="宋体" w:hAnsi="宋体"/>
                <w:bCs/>
                <w:szCs w:val="21"/>
                <w:highlight w:val="none"/>
              </w:rPr>
              <w:t>▲</w:t>
            </w:r>
            <w:r>
              <w:rPr>
                <w:rFonts w:hint="eastAsia" w:ascii="仿宋" w:hAnsi="仿宋" w:eastAsia="仿宋"/>
                <w:szCs w:val="21"/>
                <w:highlight w:val="none"/>
              </w:rPr>
              <w:t>”技术参数条款：</w:t>
            </w:r>
            <w:r>
              <w:rPr>
                <w:rFonts w:hint="eastAsia" w:ascii="仿宋" w:hAnsi="仿宋" w:eastAsia="仿宋"/>
                <w:szCs w:val="21"/>
                <w:highlight w:val="none"/>
                <w:lang w:val="en-US" w:eastAsia="zh-CN"/>
              </w:rPr>
              <w:t>6</w:t>
            </w:r>
            <w:r>
              <w:rPr>
                <w:rFonts w:hint="eastAsia" w:ascii="仿宋" w:hAnsi="仿宋" w:eastAsia="仿宋"/>
                <w:szCs w:val="21"/>
                <w:highlight w:val="none"/>
              </w:rPr>
              <w:t>条。</w:t>
            </w:r>
          </w:p>
          <w:p w14:paraId="065311A0">
            <w:pPr>
              <w:keepNext w:val="0"/>
              <w:keepLines w:val="0"/>
              <w:pageBreakBefore w:val="0"/>
              <w:kinsoku/>
              <w:overflowPunct/>
              <w:topLinePunct w:val="0"/>
              <w:autoSpaceDE/>
              <w:autoSpaceDN/>
              <w:bidi w:val="0"/>
              <w:spacing w:line="500" w:lineRule="exact"/>
              <w:rPr>
                <w:rFonts w:hint="eastAsia" w:ascii="仿宋" w:hAnsi="仿宋" w:eastAsia="仿宋"/>
                <w:szCs w:val="21"/>
                <w:highlight w:val="none"/>
              </w:rPr>
            </w:pPr>
            <w:r>
              <w:rPr>
                <w:rFonts w:hint="eastAsia" w:ascii="仿宋" w:hAnsi="仿宋" w:eastAsia="仿宋"/>
                <w:szCs w:val="21"/>
                <w:highlight w:val="none"/>
              </w:rPr>
              <w:t>注： ①针对“▲”号技术参数条款的响应，供应商应提供技术支持资料，技术支持资料指：投标产品生产厂家公开发布的印刷资料或者说明书或检测机构出具的检测报告或者白皮书等资料，否则认为不满足。</w:t>
            </w:r>
          </w:p>
        </w:tc>
        <w:tc>
          <w:tcPr>
            <w:tcW w:w="810" w:type="dxa"/>
            <w:vAlign w:val="center"/>
          </w:tcPr>
          <w:p w14:paraId="0B7530E9">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w:t>
            </w:r>
          </w:p>
        </w:tc>
        <w:tc>
          <w:tcPr>
            <w:tcW w:w="1200" w:type="dxa"/>
            <w:vAlign w:val="center"/>
          </w:tcPr>
          <w:p w14:paraId="3D68FD2E">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技术类评分因素</w:t>
            </w:r>
          </w:p>
        </w:tc>
      </w:tr>
      <w:tr w14:paraId="00960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8" w:hRule="atLeast"/>
        </w:trPr>
        <w:tc>
          <w:tcPr>
            <w:tcW w:w="675" w:type="dxa"/>
            <w:vAlign w:val="center"/>
          </w:tcPr>
          <w:p w14:paraId="2C353AD8">
            <w:pPr>
              <w:keepNext w:val="0"/>
              <w:keepLines w:val="0"/>
              <w:pageBreakBefore w:val="0"/>
              <w:kinsoku/>
              <w:overflowPunct/>
              <w:topLinePunct w:val="0"/>
              <w:autoSpaceDE/>
              <w:autoSpaceDN/>
              <w:bidi w:val="0"/>
              <w:spacing w:line="500" w:lineRule="exact"/>
              <w:ind w:firstLine="28"/>
              <w:jc w:val="center"/>
              <w:rPr>
                <w:rFonts w:ascii="仿宋" w:hAnsi="仿宋" w:eastAsia="仿宋"/>
                <w:szCs w:val="21"/>
                <w:highlight w:val="none"/>
              </w:rPr>
            </w:pPr>
            <w:r>
              <w:rPr>
                <w:rFonts w:hint="eastAsia" w:ascii="仿宋" w:hAnsi="仿宋" w:eastAsia="仿宋"/>
                <w:szCs w:val="21"/>
                <w:highlight w:val="none"/>
              </w:rPr>
              <w:t>3</w:t>
            </w:r>
          </w:p>
        </w:tc>
        <w:tc>
          <w:tcPr>
            <w:tcW w:w="1275" w:type="dxa"/>
            <w:vAlign w:val="center"/>
          </w:tcPr>
          <w:p w14:paraId="5FE1ED92">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售后服务</w:t>
            </w:r>
            <w:r>
              <w:rPr>
                <w:rFonts w:hint="eastAsia" w:ascii="仿宋" w:hAnsi="仿宋" w:eastAsia="仿宋"/>
                <w:szCs w:val="21"/>
                <w:highlight w:val="none"/>
                <w:lang w:val="en-US" w:eastAsia="zh-CN"/>
              </w:rPr>
              <w:t>1</w:t>
            </w:r>
            <w:r>
              <w:rPr>
                <w:rFonts w:hint="eastAsia" w:ascii="仿宋" w:hAnsi="仿宋" w:eastAsia="仿宋"/>
                <w:szCs w:val="21"/>
                <w:highlight w:val="none"/>
              </w:rPr>
              <w:t>0</w:t>
            </w:r>
            <w:r>
              <w:rPr>
                <w:rFonts w:ascii="仿宋" w:hAnsi="仿宋" w:eastAsia="仿宋"/>
                <w:szCs w:val="21"/>
                <w:highlight w:val="none"/>
              </w:rPr>
              <w:t>%</w:t>
            </w:r>
          </w:p>
          <w:p w14:paraId="2B8263AE">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w:t>
            </w:r>
            <w:r>
              <w:rPr>
                <w:rFonts w:hint="eastAsia" w:ascii="仿宋" w:hAnsi="仿宋" w:eastAsia="仿宋"/>
                <w:szCs w:val="21"/>
                <w:highlight w:val="none"/>
                <w:lang w:val="en-US" w:eastAsia="zh-CN"/>
              </w:rPr>
              <w:t>1</w:t>
            </w:r>
            <w:r>
              <w:rPr>
                <w:rFonts w:hint="eastAsia" w:ascii="仿宋" w:hAnsi="仿宋" w:eastAsia="仿宋"/>
                <w:szCs w:val="21"/>
                <w:highlight w:val="none"/>
              </w:rPr>
              <w:t>0分）</w:t>
            </w:r>
          </w:p>
        </w:tc>
        <w:tc>
          <w:tcPr>
            <w:tcW w:w="795" w:type="dxa"/>
            <w:vAlign w:val="center"/>
          </w:tcPr>
          <w:p w14:paraId="392DE58B">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lang w:val="en-US" w:eastAsia="zh-CN"/>
              </w:rPr>
              <w:t>1</w:t>
            </w:r>
            <w:r>
              <w:rPr>
                <w:rFonts w:hint="eastAsia" w:ascii="仿宋" w:hAnsi="仿宋" w:eastAsia="仿宋"/>
                <w:szCs w:val="21"/>
                <w:highlight w:val="none"/>
              </w:rPr>
              <w:t>0分</w:t>
            </w:r>
          </w:p>
        </w:tc>
        <w:tc>
          <w:tcPr>
            <w:tcW w:w="6135" w:type="dxa"/>
            <w:vAlign w:val="center"/>
          </w:tcPr>
          <w:p w14:paraId="245D9CCF">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投标人针对本项目提供的售后服务方案，包括但不限于①售后服务流程、②售后应急预案、③质量保障方案、④培训方案，⑤维修保养计划，每具有一项前述细化指标内容得</w:t>
            </w:r>
            <w:r>
              <w:rPr>
                <w:rFonts w:hint="eastAsia" w:ascii="仿宋" w:hAnsi="仿宋" w:eastAsia="仿宋"/>
                <w:szCs w:val="21"/>
                <w:highlight w:val="none"/>
                <w:lang w:val="en-US" w:eastAsia="zh-CN"/>
              </w:rPr>
              <w:t>2</w:t>
            </w:r>
            <w:r>
              <w:rPr>
                <w:rFonts w:hint="eastAsia" w:ascii="仿宋" w:hAnsi="仿宋" w:eastAsia="仿宋"/>
                <w:szCs w:val="21"/>
                <w:highlight w:val="none"/>
              </w:rPr>
              <w:t>分，不提供不得分，最多得</w:t>
            </w:r>
            <w:r>
              <w:rPr>
                <w:rFonts w:hint="eastAsia" w:ascii="仿宋" w:hAnsi="仿宋" w:eastAsia="仿宋"/>
                <w:szCs w:val="21"/>
                <w:highlight w:val="none"/>
                <w:lang w:val="en-US" w:eastAsia="zh-CN"/>
              </w:rPr>
              <w:t>10</w:t>
            </w:r>
            <w:r>
              <w:rPr>
                <w:rFonts w:hint="eastAsia" w:ascii="仿宋" w:hAnsi="仿宋" w:eastAsia="仿宋"/>
                <w:szCs w:val="21"/>
                <w:highlight w:val="none"/>
              </w:rPr>
              <w:t>分；每有一处内容存在缺陷，扣</w:t>
            </w:r>
            <w:r>
              <w:rPr>
                <w:rFonts w:hint="eastAsia" w:ascii="仿宋" w:hAnsi="仿宋" w:eastAsia="仿宋"/>
                <w:szCs w:val="21"/>
                <w:highlight w:val="none"/>
                <w:lang w:val="en-US" w:eastAsia="zh-CN"/>
              </w:rPr>
              <w:t>1</w:t>
            </w:r>
            <w:r>
              <w:rPr>
                <w:rFonts w:hint="eastAsia" w:ascii="仿宋" w:hAnsi="仿宋" w:eastAsia="仿宋"/>
                <w:szCs w:val="21"/>
                <w:highlight w:val="none"/>
              </w:rPr>
              <w:t xml:space="preserve">分，扣完为止。 </w:t>
            </w:r>
          </w:p>
          <w:p w14:paraId="7101E648">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注：缺陷是指：内容与实际情况不符、内容与项目无关、内容表述错误、内容前后表述矛盾、内容与项目不匹配、项目信息错误、不符合本项目涉及的相关规范或标准要求的任意一种情形。</w:t>
            </w:r>
          </w:p>
        </w:tc>
        <w:tc>
          <w:tcPr>
            <w:tcW w:w="810" w:type="dxa"/>
            <w:vAlign w:val="center"/>
          </w:tcPr>
          <w:p w14:paraId="4BE3FE3C">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ascii="仿宋" w:hAnsi="仿宋" w:eastAsia="仿宋"/>
                <w:szCs w:val="21"/>
                <w:highlight w:val="none"/>
              </w:rPr>
              <w:t>/</w:t>
            </w:r>
          </w:p>
        </w:tc>
        <w:tc>
          <w:tcPr>
            <w:tcW w:w="1200" w:type="dxa"/>
            <w:vAlign w:val="center"/>
          </w:tcPr>
          <w:p w14:paraId="549A62B9">
            <w:pPr>
              <w:keepNext w:val="0"/>
              <w:keepLines w:val="0"/>
              <w:pageBreakBefore w:val="0"/>
              <w:kinsoku/>
              <w:overflowPunct/>
              <w:topLinePunct w:val="0"/>
              <w:autoSpaceDE/>
              <w:autoSpaceDN/>
              <w:bidi w:val="0"/>
              <w:spacing w:line="500" w:lineRule="exact"/>
              <w:rPr>
                <w:rFonts w:ascii="仿宋" w:hAnsi="仿宋" w:eastAsia="仿宋"/>
                <w:szCs w:val="21"/>
                <w:highlight w:val="none"/>
              </w:rPr>
            </w:pPr>
            <w:r>
              <w:rPr>
                <w:rFonts w:hint="eastAsia" w:ascii="仿宋" w:hAnsi="仿宋" w:eastAsia="仿宋"/>
                <w:szCs w:val="21"/>
                <w:highlight w:val="none"/>
              </w:rPr>
              <w:t>共同评分因素</w:t>
            </w:r>
          </w:p>
        </w:tc>
      </w:tr>
    </w:tbl>
    <w:p w14:paraId="459ACC86">
      <w:pPr>
        <w:keepNext w:val="0"/>
        <w:keepLines w:val="0"/>
        <w:pageBreakBefore w:val="0"/>
        <w:kinsoku/>
        <w:overflowPunct/>
        <w:topLinePunct w:val="0"/>
        <w:autoSpaceDE/>
        <w:autoSpaceDN/>
        <w:bidi w:val="0"/>
        <w:spacing w:line="500" w:lineRule="exact"/>
        <w:rPr>
          <w:highlight w:val="none"/>
        </w:rPr>
      </w:pPr>
      <w:bookmarkStart w:id="2" w:name="_GoBack"/>
      <w:bookmarkEnd w:id="2"/>
    </w:p>
    <w:sectPr>
      <w:footerReference r:id="rId3" w:type="default"/>
      <w:pgSz w:w="11906" w:h="16838"/>
      <w:pgMar w:top="1417" w:right="850" w:bottom="1417"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EF6B0">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61955C1A">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14:paraId="4DA6FC44">
                          <w:pPr>
                            <w:pStyle w:val="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61955C1A">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14:paraId="4DA6FC44">
                    <w:pPr>
                      <w:pStyle w:val="6"/>
                    </w:pPr>
                  </w:p>
                </w:txbxContent>
              </v:textbox>
            </v:shape>
          </w:pict>
        </mc:Fallback>
      </mc:AlternateContent>
    </w:r>
  </w:p>
  <w:p w14:paraId="0C9B2F9A">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644"/>
        </w:tabs>
      </w:pPr>
      <w:rPr>
        <w:rFonts w:cs="Times New Roman"/>
      </w:rPr>
    </w:lvl>
    <w:lvl w:ilvl="3" w:tentative="0">
      <w:start w:val="0"/>
      <w:numFmt w:val="none"/>
      <w:lvlText w:val=""/>
      <w:lvlJc w:val="left"/>
      <w:pPr>
        <w:tabs>
          <w:tab w:val="left" w:pos="644"/>
        </w:tabs>
      </w:pPr>
      <w:rPr>
        <w:rFonts w:cs="Times New Roman"/>
      </w:rPr>
    </w:lvl>
    <w:lvl w:ilvl="4" w:tentative="0">
      <w:start w:val="0"/>
      <w:numFmt w:val="decimal"/>
      <w:pStyle w:val="3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B2E43"/>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57FD0"/>
    <w:rsid w:val="00A716F4"/>
    <w:rsid w:val="00A73043"/>
    <w:rsid w:val="00AA098A"/>
    <w:rsid w:val="00AA66BC"/>
    <w:rsid w:val="00AD0AB5"/>
    <w:rsid w:val="00AD7793"/>
    <w:rsid w:val="00B0488C"/>
    <w:rsid w:val="00B06CA9"/>
    <w:rsid w:val="00B12D10"/>
    <w:rsid w:val="00B140BC"/>
    <w:rsid w:val="00B21A3D"/>
    <w:rsid w:val="00B25892"/>
    <w:rsid w:val="00B33735"/>
    <w:rsid w:val="00B6313B"/>
    <w:rsid w:val="00B7786F"/>
    <w:rsid w:val="00B77C92"/>
    <w:rsid w:val="00B955DF"/>
    <w:rsid w:val="00BD4BA7"/>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43669F"/>
    <w:rsid w:val="03D9731E"/>
    <w:rsid w:val="04557B19"/>
    <w:rsid w:val="04682E6D"/>
    <w:rsid w:val="049912AC"/>
    <w:rsid w:val="04C61298"/>
    <w:rsid w:val="05A83606"/>
    <w:rsid w:val="05F62118"/>
    <w:rsid w:val="06380241"/>
    <w:rsid w:val="069F560A"/>
    <w:rsid w:val="07973EE6"/>
    <w:rsid w:val="07C246BF"/>
    <w:rsid w:val="07C94BE1"/>
    <w:rsid w:val="07DE6769"/>
    <w:rsid w:val="07E00A0F"/>
    <w:rsid w:val="0807296B"/>
    <w:rsid w:val="087F78BA"/>
    <w:rsid w:val="090367EA"/>
    <w:rsid w:val="095A6A56"/>
    <w:rsid w:val="09CA2C87"/>
    <w:rsid w:val="09CE4106"/>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37B38DC"/>
    <w:rsid w:val="146B53DF"/>
    <w:rsid w:val="151A349C"/>
    <w:rsid w:val="16AC0EAA"/>
    <w:rsid w:val="16D20FE6"/>
    <w:rsid w:val="17044079"/>
    <w:rsid w:val="17373CEB"/>
    <w:rsid w:val="17500414"/>
    <w:rsid w:val="177D1B56"/>
    <w:rsid w:val="182F4CA9"/>
    <w:rsid w:val="188C4A43"/>
    <w:rsid w:val="195C3707"/>
    <w:rsid w:val="1B040AF0"/>
    <w:rsid w:val="1B7F6894"/>
    <w:rsid w:val="1B811C08"/>
    <w:rsid w:val="1C004A55"/>
    <w:rsid w:val="1DD80BF7"/>
    <w:rsid w:val="1E8B6382"/>
    <w:rsid w:val="1E9268BE"/>
    <w:rsid w:val="1EFB394F"/>
    <w:rsid w:val="2086495D"/>
    <w:rsid w:val="20F56432"/>
    <w:rsid w:val="21012DCF"/>
    <w:rsid w:val="218E2A3A"/>
    <w:rsid w:val="22246CB4"/>
    <w:rsid w:val="23C96556"/>
    <w:rsid w:val="23D504F4"/>
    <w:rsid w:val="23E24D51"/>
    <w:rsid w:val="246F59E3"/>
    <w:rsid w:val="24DA7466"/>
    <w:rsid w:val="256746D6"/>
    <w:rsid w:val="25FA15A6"/>
    <w:rsid w:val="26B72586"/>
    <w:rsid w:val="27807BE0"/>
    <w:rsid w:val="29DA40B8"/>
    <w:rsid w:val="29FD5AAD"/>
    <w:rsid w:val="2B4F2CEF"/>
    <w:rsid w:val="2BBC1282"/>
    <w:rsid w:val="2C723060"/>
    <w:rsid w:val="2CF35149"/>
    <w:rsid w:val="2DC8218D"/>
    <w:rsid w:val="2DE95739"/>
    <w:rsid w:val="2E102ABB"/>
    <w:rsid w:val="2F5659F3"/>
    <w:rsid w:val="2FE55F1B"/>
    <w:rsid w:val="30191AD6"/>
    <w:rsid w:val="30FB7E9E"/>
    <w:rsid w:val="323325C4"/>
    <w:rsid w:val="324E0614"/>
    <w:rsid w:val="328B017F"/>
    <w:rsid w:val="3292324B"/>
    <w:rsid w:val="329342B5"/>
    <w:rsid w:val="32C1268D"/>
    <w:rsid w:val="35006E33"/>
    <w:rsid w:val="360B655D"/>
    <w:rsid w:val="3794592A"/>
    <w:rsid w:val="38B05953"/>
    <w:rsid w:val="38B745E0"/>
    <w:rsid w:val="393671C3"/>
    <w:rsid w:val="39D45C36"/>
    <w:rsid w:val="3A1640E8"/>
    <w:rsid w:val="3A8B6411"/>
    <w:rsid w:val="3B9D6276"/>
    <w:rsid w:val="3BF33216"/>
    <w:rsid w:val="3BFA37AC"/>
    <w:rsid w:val="3C937993"/>
    <w:rsid w:val="3D4663AF"/>
    <w:rsid w:val="3E8576EC"/>
    <w:rsid w:val="3F703160"/>
    <w:rsid w:val="3FA52852"/>
    <w:rsid w:val="3FC91C02"/>
    <w:rsid w:val="407C7408"/>
    <w:rsid w:val="411E528A"/>
    <w:rsid w:val="41936CCC"/>
    <w:rsid w:val="419E4D6E"/>
    <w:rsid w:val="41BD651D"/>
    <w:rsid w:val="423934A4"/>
    <w:rsid w:val="42621BDA"/>
    <w:rsid w:val="42C159A0"/>
    <w:rsid w:val="42E70D20"/>
    <w:rsid w:val="435B4FED"/>
    <w:rsid w:val="435C1AAA"/>
    <w:rsid w:val="43923A02"/>
    <w:rsid w:val="43B17106"/>
    <w:rsid w:val="44FF23DB"/>
    <w:rsid w:val="45DB5113"/>
    <w:rsid w:val="45FA22EB"/>
    <w:rsid w:val="460B369C"/>
    <w:rsid w:val="46675EA7"/>
    <w:rsid w:val="46986527"/>
    <w:rsid w:val="471F4DD5"/>
    <w:rsid w:val="48E65B64"/>
    <w:rsid w:val="490907D4"/>
    <w:rsid w:val="4931425C"/>
    <w:rsid w:val="49974FAF"/>
    <w:rsid w:val="49AC6DDF"/>
    <w:rsid w:val="4A7E1328"/>
    <w:rsid w:val="4B623F21"/>
    <w:rsid w:val="4D744DB2"/>
    <w:rsid w:val="4D7A092A"/>
    <w:rsid w:val="4EBA0170"/>
    <w:rsid w:val="4FBD2120"/>
    <w:rsid w:val="4FD65049"/>
    <w:rsid w:val="50CB7074"/>
    <w:rsid w:val="511A355D"/>
    <w:rsid w:val="513762CB"/>
    <w:rsid w:val="51950AC2"/>
    <w:rsid w:val="51DB5939"/>
    <w:rsid w:val="53AB2F4B"/>
    <w:rsid w:val="53E94A32"/>
    <w:rsid w:val="55B5596C"/>
    <w:rsid w:val="56D145E5"/>
    <w:rsid w:val="57003156"/>
    <w:rsid w:val="58885FE0"/>
    <w:rsid w:val="5905525D"/>
    <w:rsid w:val="59A61C5F"/>
    <w:rsid w:val="59D75EB0"/>
    <w:rsid w:val="5A2F5580"/>
    <w:rsid w:val="5A493582"/>
    <w:rsid w:val="5A7E7600"/>
    <w:rsid w:val="5AAD0A57"/>
    <w:rsid w:val="5BB61575"/>
    <w:rsid w:val="5D1024FF"/>
    <w:rsid w:val="5DBD70E7"/>
    <w:rsid w:val="5EA6596C"/>
    <w:rsid w:val="5ED65EE2"/>
    <w:rsid w:val="5F141197"/>
    <w:rsid w:val="6066691B"/>
    <w:rsid w:val="61F31C9B"/>
    <w:rsid w:val="62146F60"/>
    <w:rsid w:val="62F2388B"/>
    <w:rsid w:val="637B3DE7"/>
    <w:rsid w:val="63934138"/>
    <w:rsid w:val="63DB63D1"/>
    <w:rsid w:val="65E158A6"/>
    <w:rsid w:val="68E06C2C"/>
    <w:rsid w:val="68FD23E4"/>
    <w:rsid w:val="69B42AF7"/>
    <w:rsid w:val="69E41B3B"/>
    <w:rsid w:val="6B4E5B09"/>
    <w:rsid w:val="6BBB0CC6"/>
    <w:rsid w:val="6C4838F4"/>
    <w:rsid w:val="6E582E85"/>
    <w:rsid w:val="6EB1235D"/>
    <w:rsid w:val="6F520277"/>
    <w:rsid w:val="6F9B6713"/>
    <w:rsid w:val="6FCB75A0"/>
    <w:rsid w:val="70BF5C7A"/>
    <w:rsid w:val="70DF1AC2"/>
    <w:rsid w:val="729A42C4"/>
    <w:rsid w:val="731E7004"/>
    <w:rsid w:val="73535858"/>
    <w:rsid w:val="73B97203"/>
    <w:rsid w:val="73BD7DF0"/>
    <w:rsid w:val="743215EF"/>
    <w:rsid w:val="75CD0D5C"/>
    <w:rsid w:val="764E0276"/>
    <w:rsid w:val="7807665E"/>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200" w:firstLineChars="200"/>
    </w:pPr>
  </w:style>
  <w:style w:type="paragraph" w:styleId="5">
    <w:name w:val="annotation text"/>
    <w:basedOn w:val="1"/>
    <w:semiHidden/>
    <w:unhideWhenUsed/>
    <w:qFormat/>
    <w:uiPriority w:val="99"/>
    <w:pPr>
      <w:jc w:val="left"/>
    </w:pPr>
  </w:style>
  <w:style w:type="paragraph" w:styleId="6">
    <w:name w:val="Body Text"/>
    <w:basedOn w:val="1"/>
    <w:qFormat/>
    <w:uiPriority w:val="0"/>
    <w:pPr>
      <w:spacing w:after="120"/>
    </w:pPr>
  </w:style>
  <w:style w:type="paragraph" w:styleId="7">
    <w:name w:val="Plain Text"/>
    <w:basedOn w:val="1"/>
    <w:next w:val="1"/>
    <w:autoRedefine/>
    <w:qFormat/>
    <w:uiPriority w:val="0"/>
    <w:pPr>
      <w:autoSpaceDE w:val="0"/>
      <w:autoSpaceDN w:val="0"/>
      <w:adjustRightInd w:val="0"/>
    </w:pPr>
    <w:rPr>
      <w:rFonts w:ascii="宋体" w:hAnsi="Tms Rmn"/>
      <w:kern w:val="0"/>
      <w:szCs w:val="20"/>
    </w:rPr>
  </w:style>
  <w:style w:type="paragraph" w:styleId="8">
    <w:name w:val="Date"/>
    <w:basedOn w:val="1"/>
    <w:next w:val="1"/>
    <w:semiHidden/>
    <w:unhideWhenUsed/>
    <w:qFormat/>
    <w:uiPriority w:val="99"/>
    <w:pPr>
      <w:ind w:left="100" w:leftChars="2500"/>
    </w:pPr>
  </w:style>
  <w:style w:type="paragraph" w:styleId="9">
    <w:name w:val="Balloon Text"/>
    <w:basedOn w:val="1"/>
    <w:link w:val="30"/>
    <w:semiHidden/>
    <w:unhideWhenUsed/>
    <w:qFormat/>
    <w:uiPriority w:val="99"/>
    <w:rPr>
      <w:sz w:val="18"/>
      <w:szCs w:val="18"/>
    </w:rPr>
  </w:style>
  <w:style w:type="paragraph" w:styleId="10">
    <w:name w:val="footer"/>
    <w:basedOn w:val="1"/>
    <w:link w:val="25"/>
    <w:autoRedefine/>
    <w:unhideWhenUsed/>
    <w:qFormat/>
    <w:uiPriority w:val="99"/>
    <w:pPr>
      <w:tabs>
        <w:tab w:val="center" w:pos="4153"/>
        <w:tab w:val="right" w:pos="8306"/>
      </w:tabs>
      <w:snapToGrid w:val="0"/>
      <w:jc w:val="left"/>
    </w:pPr>
    <w:rPr>
      <w:sz w:val="18"/>
      <w:szCs w:val="18"/>
    </w:rPr>
  </w:style>
  <w:style w:type="paragraph" w:styleId="11">
    <w:name w:val="header"/>
    <w:basedOn w:val="1"/>
    <w:link w:val="2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4">
    <w:name w:val="table of figures"/>
    <w:basedOn w:val="1"/>
    <w:next w:val="1"/>
    <w:unhideWhenUsed/>
    <w:qFormat/>
    <w:uiPriority w:val="99"/>
    <w:pPr>
      <w:ind w:left="200" w:leftChars="200" w:hanging="200" w:hangingChars="200"/>
    </w:p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Body Text First Indent"/>
    <w:basedOn w:val="6"/>
    <w:autoRedefine/>
    <w:qFormat/>
    <w:uiPriority w:val="99"/>
    <w:pPr>
      <w:ind w:firstLine="420" w:firstLineChars="100"/>
    </w:pPr>
  </w:style>
  <w:style w:type="table" w:styleId="18">
    <w:name w:val="Table Grid"/>
    <w:basedOn w:val="1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page number"/>
    <w:autoRedefine/>
    <w:qFormat/>
    <w:uiPriority w:val="0"/>
  </w:style>
  <w:style w:type="character" w:styleId="22">
    <w:name w:val="Hyperlink"/>
    <w:basedOn w:val="19"/>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1"/>
    <w:qFormat/>
    <w:uiPriority w:val="99"/>
    <w:rPr>
      <w:sz w:val="18"/>
      <w:szCs w:val="18"/>
    </w:rPr>
  </w:style>
  <w:style w:type="character" w:customStyle="1" w:styleId="25">
    <w:name w:val="页脚 字符"/>
    <w:basedOn w:val="19"/>
    <w:link w:val="10"/>
    <w:autoRedefine/>
    <w:qFormat/>
    <w:uiPriority w:val="99"/>
    <w:rPr>
      <w:sz w:val="18"/>
      <w:szCs w:val="18"/>
    </w:rPr>
  </w:style>
  <w:style w:type="paragraph" w:styleId="26">
    <w:name w:val="List Paragraph"/>
    <w:basedOn w:val="1"/>
    <w:autoRedefine/>
    <w:qFormat/>
    <w:uiPriority w:val="34"/>
    <w:pPr>
      <w:ind w:firstLine="420" w:firstLineChars="200"/>
    </w:pPr>
  </w:style>
  <w:style w:type="character" w:customStyle="1" w:styleId="27">
    <w:name w:val="标题 2 字符"/>
    <w:basedOn w:val="19"/>
    <w:link w:val="3"/>
    <w:autoRedefine/>
    <w:qFormat/>
    <w:uiPriority w:val="9"/>
    <w:rPr>
      <w:rFonts w:ascii="Arial" w:hAnsi="Arial" w:eastAsia="黑体" w:cs="Times New Roman"/>
      <w:b/>
      <w:bCs/>
      <w:sz w:val="32"/>
      <w:szCs w:val="32"/>
    </w:rPr>
  </w:style>
  <w:style w:type="character" w:customStyle="1" w:styleId="28">
    <w:name w:val="列出段落 Char"/>
    <w:link w:val="29"/>
    <w:autoRedefine/>
    <w:qFormat/>
    <w:uiPriority w:val="34"/>
    <w:rPr>
      <w:rFonts w:ascii="宋体" w:hAnsi="宋体" w:cs="宋体"/>
      <w:sz w:val="24"/>
      <w:szCs w:val="24"/>
    </w:rPr>
  </w:style>
  <w:style w:type="paragraph" w:customStyle="1" w:styleId="29">
    <w:name w:val="列出段落1"/>
    <w:basedOn w:val="1"/>
    <w:link w:val="28"/>
    <w:autoRedefine/>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9"/>
    <w:autoRedefine/>
    <w:semiHidden/>
    <w:qFormat/>
    <w:uiPriority w:val="99"/>
    <w:rPr>
      <w:sz w:val="18"/>
      <w:szCs w:val="18"/>
    </w:rPr>
  </w:style>
  <w:style w:type="character" w:customStyle="1" w:styleId="31">
    <w:name w:val="font11"/>
    <w:basedOn w:val="19"/>
    <w:autoRedefine/>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paragraph" w:customStyle="1" w:styleId="33">
    <w:name w:val="标题 5（有编号）（绿盟科技）"/>
    <w:basedOn w:val="1"/>
    <w:next w:val="34"/>
    <w:autoRedefine/>
    <w:qFormat/>
    <w:uiPriority w:val="0"/>
    <w:pPr>
      <w:keepNext/>
      <w:keepLines/>
      <w:numPr>
        <w:ilvl w:val="4"/>
        <w:numId w:val="1"/>
      </w:numPr>
      <w:tabs>
        <w:tab w:val="left" w:pos="0"/>
      </w:tabs>
      <w:spacing w:before="280" w:after="156" w:line="377" w:lineRule="auto"/>
      <w:jc w:val="left"/>
      <w:outlineLvl w:val="4"/>
    </w:pPr>
    <w:rPr>
      <w:rFonts w:ascii="Arial" w:hAnsi="Arial" w:eastAsia="黑体"/>
      <w:b/>
      <w:sz w:val="24"/>
      <w:szCs w:val="28"/>
    </w:rPr>
  </w:style>
  <w:style w:type="paragraph" w:customStyle="1" w:styleId="34">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3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6">
    <w:name w:val="样式 首行缩进:  2 字符"/>
    <w:basedOn w:val="1"/>
    <w:autoRedefine/>
    <w:qFormat/>
    <w:uiPriority w:val="99"/>
    <w:pPr>
      <w:spacing w:line="400" w:lineRule="exact"/>
      <w:ind w:firstLine="200" w:firstLineChars="200"/>
    </w:pPr>
    <w:rPr>
      <w:rFonts w:cs="宋体"/>
      <w:sz w:val="24"/>
    </w:rPr>
  </w:style>
  <w:style w:type="paragraph" w:customStyle="1" w:styleId="37">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5232</Words>
  <Characters>5732</Characters>
  <Lines>51</Lines>
  <Paragraphs>14</Paragraphs>
  <TotalTime>2</TotalTime>
  <ScaleCrop>false</ScaleCrop>
  <LinksUpToDate>false</LinksUpToDate>
  <CharactersWithSpaces>5855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2024-03-13T04:29:00Z</dcterms:created>
  <dc:creator>HOUQING</dc:creator>
  <cp:lastModifiedBy>cs</cp:lastModifiedBy>
  <cp:lastPrinted>2024-10-23T09:45:00Z</cp:lastPrinted>
  <dcterms:modified xsi:type="dcterms:W3CDTF">2024-10-25T04:44:38Z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B37B774ADC094AD28AC7D38B3A8865E4_13</vt:lpwstr>
  </property>
  <property fmtid="{D5CDD505-2E9C-101B-9397-08002B2CF9AE}" pid="4" name="commondata">
    <vt:lpwstr>eyJoZGlkIjoiNGFhNjBkNjkwYzVkMGJlYjhkODdmZTMyNDY5NTA5YWUifQ==</vt:lpwstr>
  </property>
</Properties>
</file>