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DB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43EFA5E8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49B7A1AF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一、项目简介</w:t>
      </w:r>
    </w:p>
    <w:p w14:paraId="18C7DB0B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对医院使用的2台（额定蒸发量2.0吨/小时，2015年投入使用）燃气锅炉燃烧头进行节能和低氮改造，改造后要求设备相关监测数据达到《成都市锅炉大气污染物排放标准》（DB51/2672-2020），服务内容包括锅炉原燃烧器拆除及垃圾清运、锅炉低氮改造设备、选型、检测、试验、包装、运输，安装、调试和培训。</w:t>
      </w:r>
    </w:p>
    <w:p w14:paraId="6D1B6EDD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二、技术服务要求：</w:t>
      </w:r>
    </w:p>
    <w:p w14:paraId="5077D2D5">
      <w:pPr>
        <w:pStyle w:val="6"/>
        <w:spacing w:line="578" w:lineRule="exact"/>
        <w:ind w:left="0" w:leftChars="0" w:firstLine="240" w:firstLineChars="10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▲1.安装</w:t>
      </w:r>
      <w:r>
        <w:rPr>
          <w:rFonts w:hint="default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超低氮燃气燃烧器及配套阀组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2套（输出热功率：≤1600KW ；使用能源：天然气；最大燃料消耗量：≤160m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vertAlign w:val="superscript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/h；燃烧方式：FGR烟气循环燃烧；NOx排放≤30mg/m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vertAlign w:val="superscript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；CO排放≤100mg/m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vertAlign w:val="superscript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，提供第三方检测机构型式试验证书和报告，提供燃烧器制造厂家低氮改造安装调试授权书）；</w:t>
      </w:r>
    </w:p>
    <w:p w14:paraId="64642B7C">
      <w:pPr>
        <w:pStyle w:val="6"/>
        <w:spacing w:line="578" w:lineRule="exact"/>
        <w:ind w:firstLine="64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2.安装FGR管道、保温层、外包铝皮（材质：304不锈钢 ；硅酸盐保温棉保温厚度≥40mm）；</w:t>
      </w:r>
    </w:p>
    <w:p w14:paraId="10FB74CA">
      <w:pPr>
        <w:pStyle w:val="6"/>
        <w:spacing w:line="578" w:lineRule="exact"/>
        <w:ind w:left="0" w:leftChars="0" w:firstLine="240" w:firstLineChars="10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▲3.锅炉燃烧机接口改动及修复（改造后的控制系统接入现有的锅炉控制柜内，燃烧器与现有锅炉控制系统相匹配，与现有设备相连接、控制、信号反馈；信号能输送到原监测系统，满足设备对负荷调整的匹配性）</w:t>
      </w:r>
    </w:p>
    <w:p w14:paraId="70F32353">
      <w:pPr>
        <w:pStyle w:val="6"/>
        <w:spacing w:line="578" w:lineRule="exact"/>
        <w:ind w:firstLine="64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锅炉智能运行控制优化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错误代码远程读出、清除；锅炉设定温度远程修改；供回水温度、烟气温度、燃烧功率、错误代码等锅炉信息采集、锅炉信息传输功能；具备室外温度补偿功能；具备远程锅炉启停，分时段控制自动启停功能；具备同步故障报警功能；具备PC端与APP实现同步错误代码推送）；</w:t>
      </w:r>
    </w:p>
    <w:p w14:paraId="7D20C873">
      <w:pPr>
        <w:pStyle w:val="6"/>
        <w:spacing w:line="578" w:lineRule="exact"/>
        <w:ind w:left="0" w:leftChars="0" w:firstLine="240" w:firstLineChars="10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▲5.燃烧器调试，相关主管部门现场验收合格并出具检测报告；</w:t>
      </w:r>
    </w:p>
    <w:p w14:paraId="12DD57AE">
      <w:pPr>
        <w:pStyle w:val="6"/>
        <w:spacing w:line="578" w:lineRule="exact"/>
        <w:ind w:left="0" w:leftChars="0" w:firstLine="240" w:firstLineChars="10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▲6.安全性能，改造后不得降低锅炉的安全性能（提供承诺函）；</w:t>
      </w:r>
    </w:p>
    <w:p w14:paraId="0D86C7BE">
      <w:pPr>
        <w:pStyle w:val="6"/>
        <w:spacing w:line="578" w:lineRule="exact"/>
        <w:ind w:left="0" w:leftChars="0" w:firstLine="240" w:firstLineChars="100"/>
        <w:jc w:val="both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★7.改造完成后锅炉使用时产生的烟气需符合《成都市锅炉大气污染物排放标准》（DB512672-2020）的相关要求，满足或低于下表排放标准：</w:t>
      </w:r>
    </w:p>
    <w:tbl>
      <w:tblPr>
        <w:tblStyle w:val="3"/>
        <w:tblW w:w="458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2131"/>
        <w:gridCol w:w="1878"/>
        <w:gridCol w:w="2826"/>
      </w:tblGrid>
      <w:tr w14:paraId="1485D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6679A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B8A8B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B0750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标准（mg/m³）</w:t>
            </w:r>
          </w:p>
        </w:tc>
        <w:tc>
          <w:tcPr>
            <w:tcW w:w="1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31646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A544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29E3A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B263C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18B41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0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E23AB0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90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  <w:t>%的工作负荷以上</w:t>
            </w:r>
          </w:p>
        </w:tc>
      </w:tr>
      <w:tr w14:paraId="3E71F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EB244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B391C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6C6B8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0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7EDBD2">
            <w:pPr>
              <w:pStyle w:val="6"/>
              <w:spacing w:line="578" w:lineRule="exact"/>
              <w:ind w:firstLine="0" w:firstLineChars="0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929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4D7FD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4A5A0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氮氧化物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2A4F3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80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1757D5">
            <w:pPr>
              <w:pStyle w:val="6"/>
              <w:spacing w:line="578" w:lineRule="exact"/>
              <w:ind w:firstLine="0" w:firstLineChars="0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0A8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F8E39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55602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一氧化碳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61FC4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180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0A4312">
            <w:pPr>
              <w:pStyle w:val="6"/>
              <w:spacing w:line="578" w:lineRule="exact"/>
              <w:ind w:firstLine="0" w:firstLineChars="0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70A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B5C3C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4F89C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烟气黑度</w:t>
            </w:r>
          </w:p>
        </w:tc>
        <w:tc>
          <w:tcPr>
            <w:tcW w:w="1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7723C">
            <w:pPr>
              <w:pStyle w:val="6"/>
              <w:spacing w:line="578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0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AC44D">
            <w:pPr>
              <w:pStyle w:val="6"/>
              <w:spacing w:line="578" w:lineRule="exact"/>
              <w:ind w:firstLine="0" w:firstLineChars="0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7735746">
      <w:pPr>
        <w:pStyle w:val="6"/>
        <w:spacing w:line="578" w:lineRule="exact"/>
        <w:ind w:firstLine="64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8.锅炉房内及房顶两根烟道及检测口改造，达到排放检测要求；</w:t>
      </w:r>
    </w:p>
    <w:p w14:paraId="31B4F551">
      <w:pPr>
        <w:spacing w:line="578" w:lineRule="exact"/>
        <w:ind w:firstLine="480" w:firstLineChars="20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9.提供合格的特种设备改造和重大维修监督检验证书；</w:t>
      </w:r>
    </w:p>
    <w:p w14:paraId="60DB214F">
      <w:pPr>
        <w:pStyle w:val="6"/>
        <w:spacing w:line="578" w:lineRule="exact"/>
        <w:ind w:firstLine="64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10.提供锅炉运行工况热效率简单测试报告；</w:t>
      </w:r>
    </w:p>
    <w:p w14:paraId="22C75000">
      <w:pPr>
        <w:pStyle w:val="6"/>
        <w:spacing w:line="578" w:lineRule="exact"/>
        <w:ind w:firstLine="64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11.环保检验（每台锅炉环保检测改造前后各一次，并出具合格报告）；</w:t>
      </w:r>
    </w:p>
    <w:p w14:paraId="6E612832">
      <w:pPr>
        <w:pStyle w:val="6"/>
        <w:spacing w:line="578" w:lineRule="exact"/>
        <w:ind w:firstLine="64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12.改造施工期间不能影响医院供水。</w:t>
      </w:r>
    </w:p>
    <w:p w14:paraId="6ABDAF11">
      <w:pPr>
        <w:spacing w:line="578" w:lineRule="exact"/>
        <w:ind w:firstLine="240" w:firstLineChars="10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▲13.为保障产品质量，所提供的重要设备需满足以下要求。</w:t>
      </w:r>
    </w:p>
    <w:p w14:paraId="7E1453EF">
      <w:pPr>
        <w:pStyle w:val="6"/>
        <w:spacing w:line="578" w:lineRule="exact"/>
        <w:ind w:firstLine="64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5901"/>
        <w:gridCol w:w="2860"/>
      </w:tblGrid>
      <w:tr w14:paraId="26BDA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 w14:paraId="003B338E">
            <w:pPr>
              <w:pStyle w:val="2"/>
              <w:widowControl w:val="0"/>
              <w:jc w:val="center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设备名称</w:t>
            </w:r>
          </w:p>
        </w:tc>
        <w:tc>
          <w:tcPr>
            <w:tcW w:w="5901" w:type="dxa"/>
            <w:vAlign w:val="center"/>
          </w:tcPr>
          <w:p w14:paraId="7BB6C562">
            <w:pPr>
              <w:pStyle w:val="2"/>
              <w:widowControl w:val="0"/>
              <w:jc w:val="center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配件及需求</w:t>
            </w:r>
          </w:p>
        </w:tc>
        <w:tc>
          <w:tcPr>
            <w:tcW w:w="2860" w:type="dxa"/>
            <w:vAlign w:val="center"/>
          </w:tcPr>
          <w:p w14:paraId="2E1B9421">
            <w:pPr>
              <w:pStyle w:val="2"/>
              <w:widowControl w:val="0"/>
              <w:jc w:val="center"/>
              <w:rPr>
                <w:rFonts w:hint="eastAsia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参数</w:t>
            </w:r>
          </w:p>
        </w:tc>
      </w:tr>
      <w:tr w14:paraId="55B38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09" w:type="dxa"/>
            <w:vAlign w:val="center"/>
          </w:tcPr>
          <w:p w14:paraId="689CC26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eastAsia="方正仿宋_GBK"/>
                <w:vertAlign w:val="baseline"/>
                <w:lang w:val="en-US" w:eastAsia="zh-CN"/>
              </w:rPr>
            </w:pPr>
            <w:r>
              <w:rPr>
                <w:rFonts w:hint="default" w:eastAsia="方正仿宋_GBK"/>
                <w:sz w:val="24"/>
                <w:szCs w:val="24"/>
              </w:rPr>
              <w:t>超低氮燃气燃烧器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及配套阀组</w:t>
            </w:r>
          </w:p>
        </w:tc>
        <w:tc>
          <w:tcPr>
            <w:tcW w:w="5901" w:type="dxa"/>
          </w:tcPr>
          <w:p w14:paraId="484F578B">
            <w:pPr>
              <w:pStyle w:val="2"/>
              <w:widowControl w:val="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程序控制器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与现有设备西门子中文界面匹配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提供承诺函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）</w:t>
            </w:r>
          </w:p>
          <w:p w14:paraId="56192B79">
            <w:pPr>
              <w:pStyle w:val="2"/>
              <w:widowControl w:val="0"/>
              <w:jc w:val="both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eastAsia="方正仿宋_GBK"/>
                <w:sz w:val="24"/>
                <w:szCs w:val="24"/>
              </w:rPr>
              <w:t>点火变压器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西门子/冬斯/霍尼韦尔</w:t>
            </w:r>
          </w:p>
          <w:p w14:paraId="65DF822A">
            <w:pPr>
              <w:pStyle w:val="2"/>
              <w:widowControl w:val="0"/>
              <w:jc w:val="both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eastAsia="方正仿宋_GBK"/>
                <w:sz w:val="24"/>
                <w:szCs w:val="24"/>
              </w:rPr>
              <w:t>安全切断阀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西门子/冬斯/霍尼韦尔</w:t>
            </w:r>
          </w:p>
          <w:p w14:paraId="60C04F85">
            <w:pPr>
              <w:pStyle w:val="2"/>
              <w:widowControl w:val="0"/>
              <w:jc w:val="both"/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伺服马达（风）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西门子/冬斯/霍尼韦尔</w:t>
            </w:r>
          </w:p>
          <w:p w14:paraId="6CFF56A9">
            <w:pPr>
              <w:pStyle w:val="2"/>
              <w:widowControl w:val="0"/>
              <w:jc w:val="both"/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伺服马达（</w:t>
            </w:r>
            <w:r>
              <w:rPr>
                <w:rFonts w:eastAsia="方正仿宋_GBK"/>
                <w:sz w:val="24"/>
                <w:szCs w:val="24"/>
              </w:rPr>
              <w:t>FGR</w:t>
            </w:r>
            <w:r>
              <w:rPr>
                <w:rFonts w:hint="eastAsia" w:eastAsia="方正仿宋_GBK"/>
                <w:sz w:val="24"/>
                <w:szCs w:val="24"/>
              </w:rPr>
              <w:t>）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西门子/冬斯/霍尼韦尔</w:t>
            </w:r>
          </w:p>
          <w:p w14:paraId="5EE374B2">
            <w:pPr>
              <w:pStyle w:val="2"/>
              <w:widowControl w:val="0"/>
              <w:jc w:val="both"/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伺服马达（气）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西门子/冬斯/霍尼韦尔</w:t>
            </w:r>
          </w:p>
          <w:p w14:paraId="1C0F82B5">
            <w:pPr>
              <w:pStyle w:val="2"/>
              <w:widowControl w:val="0"/>
              <w:jc w:val="both"/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火焰检测器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西门子/冬斯/霍尼韦尔</w:t>
            </w:r>
          </w:p>
          <w:p w14:paraId="6F055BDA">
            <w:pPr>
              <w:pStyle w:val="2"/>
              <w:widowControl w:val="0"/>
              <w:jc w:val="both"/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执行器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西门子/冬斯/霍尼韦尔</w:t>
            </w:r>
          </w:p>
          <w:p w14:paraId="6CE7360F">
            <w:pPr>
              <w:pStyle w:val="2"/>
              <w:widowControl w:val="0"/>
              <w:jc w:val="both"/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氧探头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西门子/冬斯/霍尼韦尔</w:t>
            </w:r>
          </w:p>
        </w:tc>
        <w:tc>
          <w:tcPr>
            <w:tcW w:w="2860" w:type="dxa"/>
          </w:tcPr>
          <w:p w14:paraId="2CE966DD">
            <w:pPr>
              <w:pStyle w:val="2"/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电机功率（</w:t>
            </w:r>
            <w:r>
              <w:rPr>
                <w:rFonts w:eastAsia="方正仿宋_GBK"/>
                <w:sz w:val="24"/>
                <w:szCs w:val="24"/>
              </w:rPr>
              <w:t>KW</w:t>
            </w:r>
            <w:r>
              <w:rPr>
                <w:rFonts w:hint="eastAsia" w:eastAsia="方正仿宋_GBK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5.5</w:t>
            </w:r>
          </w:p>
          <w:p w14:paraId="7946CD26">
            <w:pPr>
              <w:pStyle w:val="2"/>
              <w:widowControl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输出功率（</w:t>
            </w:r>
            <w:r>
              <w:rPr>
                <w:rFonts w:eastAsia="方正仿宋_GBK"/>
                <w:sz w:val="24"/>
                <w:szCs w:val="24"/>
              </w:rPr>
              <w:t>KW</w:t>
            </w:r>
            <w:r>
              <w:rPr>
                <w:rFonts w:hint="eastAsia" w:eastAsia="方正仿宋_GBK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1600</w:t>
            </w:r>
          </w:p>
          <w:p w14:paraId="709B35ED">
            <w:pPr>
              <w:pStyle w:val="2"/>
              <w:widowControl w:val="0"/>
              <w:jc w:val="both"/>
              <w:rPr>
                <w:rFonts w:hint="eastAsia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阀组口径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eastAsia="方正仿宋_GBK"/>
                <w:sz w:val="24"/>
                <w:szCs w:val="24"/>
              </w:rPr>
              <w:t>DN50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与现有匹配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）</w:t>
            </w:r>
          </w:p>
          <w:p w14:paraId="75BF145B">
            <w:pPr>
              <w:pStyle w:val="2"/>
              <w:widowControl w:val="0"/>
              <w:jc w:val="both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/>
                <w:sz w:val="24"/>
                <w:szCs w:val="24"/>
              </w:rPr>
              <w:t>供气压力（</w:t>
            </w:r>
            <w:r>
              <w:rPr>
                <w:rFonts w:eastAsia="方正仿宋_GBK"/>
                <w:sz w:val="24"/>
                <w:szCs w:val="24"/>
              </w:rPr>
              <w:t>kpa</w:t>
            </w:r>
            <w:r>
              <w:rPr>
                <w:rFonts w:hint="eastAsia" w:eastAsia="方正仿宋_GBK"/>
                <w:sz w:val="24"/>
                <w:szCs w:val="24"/>
              </w:rPr>
              <w:t>）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eastAsia="方正仿宋_GBK"/>
                <w:sz w:val="24"/>
                <w:szCs w:val="24"/>
              </w:rPr>
              <w:t>10-12</w:t>
            </w:r>
          </w:p>
          <w:p w14:paraId="681B26AF">
            <w:pPr>
              <w:pStyle w:val="2"/>
              <w:widowControl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最大耗气量（</w:t>
            </w:r>
            <w:r>
              <w:rPr>
                <w:rFonts w:eastAsia="方正仿宋_GBK"/>
                <w:sz w:val="24"/>
                <w:szCs w:val="24"/>
              </w:rPr>
              <w:t>m³/h</w:t>
            </w:r>
            <w:r>
              <w:rPr>
                <w:rFonts w:hint="eastAsia" w:eastAsia="方正仿宋_GBK"/>
                <w:sz w:val="24"/>
                <w:szCs w:val="24"/>
              </w:rPr>
              <w:t>）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160</w:t>
            </w:r>
          </w:p>
          <w:p w14:paraId="2077D32A">
            <w:pPr>
              <w:widowControl/>
              <w:spacing w:line="400" w:lineRule="exact"/>
              <w:ind w:left="720" w:hanging="720" w:hangingChars="300"/>
              <w:jc w:val="left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sz w:val="24"/>
                <w:szCs w:val="24"/>
              </w:rPr>
              <w:t>燃料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</w:rPr>
              <w:t>天然气，低位热值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≤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8600kcal/m³</w:t>
            </w: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</w:rPr>
              <w:t>燃气最低压力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≥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10 Kpa</w:t>
            </w:r>
          </w:p>
          <w:p w14:paraId="05BD0A9F">
            <w:pPr>
              <w:pStyle w:val="2"/>
              <w:widowControl w:val="0"/>
              <w:jc w:val="both"/>
              <w:rPr>
                <w:rFonts w:hint="eastAsia" w:eastAsia="方正仿宋_GBK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</w:rPr>
              <w:t>点火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eastAsia="方正仿宋_GBK"/>
                <w:sz w:val="24"/>
                <w:szCs w:val="24"/>
              </w:rPr>
              <w:t>直接点火</w:t>
            </w:r>
          </w:p>
          <w:p w14:paraId="751B72A7">
            <w:pPr>
              <w:pStyle w:val="2"/>
              <w:widowControl w:val="0"/>
              <w:jc w:val="both"/>
              <w:rPr>
                <w:rFonts w:hint="eastAsia" w:ascii="宋体" w:hAnsi="宋体" w:eastAsia="方正仿宋_GBK" w:cs="宋体"/>
                <w:sz w:val="24"/>
                <w:szCs w:val="24"/>
                <w:lang w:val="en-US" w:eastAsia="zh-CN"/>
              </w:rPr>
            </w:pPr>
          </w:p>
        </w:tc>
      </w:tr>
    </w:tbl>
    <w:p w14:paraId="4AAEF1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Chars="200"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kern w:val="2"/>
          <w:szCs w:val="24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三、商务要求</w:t>
      </w:r>
    </w:p>
    <w:p w14:paraId="37404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3.1完成时间：合同签订之日起的30个工作日内完成供货、安装调试及改造服务。</w:t>
      </w:r>
    </w:p>
    <w:p w14:paraId="42904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3.2项目实施地点：采购人指定地点。</w:t>
      </w:r>
    </w:p>
    <w:p w14:paraId="18C4E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3.3付款方式：合同签订后，预付合同款项的20%；货到现场并安装调试完成后，提交安装调试报告，经相关科室确认后，支付合同款项的20%；改造完成后，设备监测数据达到相关标准，由主管部门现场验收合格并出具检测报告后支付合同款项的50%；设备经运行12个月后，供应商提交验收申请，经相关科室验收合格后，支付合同剩余款项。</w:t>
      </w:r>
    </w:p>
    <w:p w14:paraId="3B956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3.4验收：医院自主验收。改造完成后，供应商须提供燃烧器的型式证书和型式实验报告、锅炉运行工况热效率简单测试报告、锅炉大气污染区排放检测报告，纸质版及电子版各一份。</w:t>
      </w:r>
    </w:p>
    <w:p w14:paraId="7180B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3.5其他要求</w:t>
      </w:r>
    </w:p>
    <w:p w14:paraId="59B64492"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售后服务：整机设备质保期自设备运行验收之日起不少于贰年，质保期内（质保期自锅炉整体调试完毕，第三方检测排放合格，点火正常使用开始起计算）维修、更换本次改造所涉及的全部设备、设施、元器部件所产生费用由中标供应商承担。同时提供固定有效的售后服务人员联系方式，以及时应对突发情况，确保设备的正常运行。（提供承诺函）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694B38A-292F-41D5-96A4-589E62B993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7E1A725-4B80-47B6-BEBC-A746DA119702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C8680277-DD0F-4398-B326-667346CBBE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270F3386"/>
    <w:rsid w:val="270F3386"/>
    <w:rsid w:val="6A703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0"/>
    <w:pPr>
      <w:ind w:left="200" w:hanging="200" w:hangingChars="200"/>
      <w:contextualSpacing/>
    </w:p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2024-10-25T06:38:00Z</dcterms:created>
  <dc:creator>邱玥</dc:creator>
  <cp:lastModifiedBy>邱玥</cp:lastModifiedBy>
  <dcterms:modified xsi:type="dcterms:W3CDTF">2024-10-25T06:39:57Z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76F55B5EC6A64BCF85235622086089A2_13</vt:lpwstr>
  </property>
</Properties>
</file>