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84106B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szCs w:val="2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附件三：</w:t>
      </w:r>
      <w:r>
        <w:rPr>
          <w:rFonts w:hint="eastAsia" w:ascii="华文中宋" w:hAnsi="华文中宋" w:eastAsia="华文中宋"/>
          <w:b/>
          <w:color w:val="000000" w:themeColor="text1"/>
          <w:sz w:val="32"/>
          <w:szCs w:val="22"/>
          <w14:textFill>
            <w14:solidFill>
              <w14:schemeClr w14:val="tx1"/>
            </w14:solidFill>
          </w14:textFill>
        </w:rPr>
        <w:t>综合评分明细表</w:t>
      </w:r>
    </w:p>
    <w:tbl>
      <w:tblPr>
        <w:tblStyle w:val="4"/>
        <w:tblW w:w="88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427"/>
        <w:gridCol w:w="561"/>
        <w:gridCol w:w="5323"/>
        <w:gridCol w:w="930"/>
      </w:tblGrid>
      <w:tr w14:paraId="4EB3B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 w14:paraId="17B0FE2F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27" w:type="dxa"/>
            <w:noWrap w:val="0"/>
            <w:vAlign w:val="center"/>
          </w:tcPr>
          <w:p w14:paraId="6C81595C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评分因素</w:t>
            </w:r>
          </w:p>
          <w:p w14:paraId="0B02C73D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及权重</w:t>
            </w:r>
          </w:p>
        </w:tc>
        <w:tc>
          <w:tcPr>
            <w:tcW w:w="561" w:type="dxa"/>
            <w:noWrap w:val="0"/>
            <w:vAlign w:val="center"/>
          </w:tcPr>
          <w:p w14:paraId="12685472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分　值</w:t>
            </w:r>
          </w:p>
        </w:tc>
        <w:tc>
          <w:tcPr>
            <w:tcW w:w="5323" w:type="dxa"/>
            <w:noWrap w:val="0"/>
            <w:vAlign w:val="center"/>
          </w:tcPr>
          <w:p w14:paraId="40635B19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评分标准</w:t>
            </w:r>
          </w:p>
        </w:tc>
        <w:tc>
          <w:tcPr>
            <w:tcW w:w="930" w:type="dxa"/>
            <w:noWrap w:val="0"/>
            <w:vAlign w:val="center"/>
          </w:tcPr>
          <w:p w14:paraId="2BC26D0E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58CE7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  <w:jc w:val="center"/>
        </w:trPr>
        <w:tc>
          <w:tcPr>
            <w:tcW w:w="596" w:type="dxa"/>
            <w:noWrap w:val="0"/>
            <w:vAlign w:val="center"/>
          </w:tcPr>
          <w:p w14:paraId="3AF9E63E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27" w:type="dxa"/>
            <w:noWrap w:val="0"/>
            <w:vAlign w:val="center"/>
          </w:tcPr>
          <w:p w14:paraId="18F3F075">
            <w:pPr>
              <w:widowControl/>
              <w:ind w:firstLine="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报价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</w:rPr>
              <w:t>(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</w:rPr>
              <w:t>%)</w:t>
            </w:r>
          </w:p>
        </w:tc>
        <w:tc>
          <w:tcPr>
            <w:tcW w:w="561" w:type="dxa"/>
            <w:noWrap w:val="0"/>
            <w:vAlign w:val="center"/>
          </w:tcPr>
          <w:p w14:paraId="7666F42A">
            <w:pPr>
              <w:widowControl/>
              <w:ind w:firstLine="0" w:firstLineChars="0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 w14:paraId="27D71794">
            <w:pPr>
              <w:widowControl/>
              <w:spacing w:before="0" w:line="276" w:lineRule="auto"/>
              <w:ind w:left="0" w:right="0" w:firstLine="0"/>
              <w:jc w:val="left"/>
              <w:rPr>
                <w:rFonts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ascii="Times New Roman" w:hAnsi="Times New Roman" w:eastAsia="方正仿宋_GBK" w:cs="Times New Roman"/>
                <w:spacing w:val="0"/>
                <w:sz w:val="21"/>
                <w:szCs w:val="21"/>
              </w:rPr>
              <w:t>以本次有效的最低</w:t>
            </w:r>
            <w:r>
              <w:rPr>
                <w:rFonts w:ascii="Times New Roman" w:hAnsi="Times New Roman" w:eastAsia="方正仿宋_GBK" w:cs="Times New Roman"/>
                <w:sz w:val="21"/>
                <w:szCs w:val="21"/>
              </w:rPr>
              <w:t>报价为基准价，报价得分=(</w:t>
            </w:r>
            <w:r>
              <w:rPr>
                <w:rFonts w:ascii="Times New Roman" w:hAnsi="Times New Roman" w:eastAsia="方正仿宋_GBK" w:cs="Times New Roman"/>
                <w:spacing w:val="0"/>
                <w:sz w:val="21"/>
                <w:szCs w:val="21"/>
              </w:rPr>
              <w:t>基准价／最后报价)×</w:t>
            </w:r>
            <w:r>
              <w:rPr>
                <w:rFonts w:hint="eastAsia" w:ascii="Times New Roman" w:hAnsi="Times New Roman" w:eastAsia="方正仿宋_GBK" w:cs="Times New Roman"/>
                <w:spacing w:val="0"/>
                <w:sz w:val="21"/>
                <w:szCs w:val="21"/>
                <w:lang w:val="en-US" w:eastAsia="zh-CN"/>
              </w:rPr>
              <w:t>20</w:t>
            </w:r>
            <w:r>
              <w:rPr>
                <w:rFonts w:ascii="Times New Roman" w:hAnsi="Times New Roman" w:eastAsia="方正仿宋_GBK" w:cs="Times New Roman"/>
                <w:spacing w:val="0"/>
                <w:sz w:val="21"/>
                <w:szCs w:val="21"/>
              </w:rPr>
              <w:t>×100%。</w:t>
            </w:r>
          </w:p>
          <w:p w14:paraId="4CC97715">
            <w:pPr>
              <w:widowControl/>
              <w:spacing w:line="276" w:lineRule="auto"/>
              <w:ind w:firstLine="420" w:firstLineChars="0"/>
              <w:jc w:val="left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注：投标人的报价明显低于其他通过符合性审查投标人的报价，有可能影响产品质量或者不能诚信履约的，应当要求其在评标现场合理的时间内提供书面说明，必要时提交相关材料投标人不能证明其报价合理性的，评标委员会应当将其作为无效投标处理。</w:t>
            </w:r>
          </w:p>
        </w:tc>
        <w:tc>
          <w:tcPr>
            <w:tcW w:w="930" w:type="dxa"/>
            <w:noWrap w:val="0"/>
            <w:vAlign w:val="center"/>
          </w:tcPr>
          <w:p w14:paraId="0B4A4D1B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9316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 w14:paraId="15FA82A6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27" w:type="dxa"/>
            <w:noWrap w:val="0"/>
            <w:vAlign w:val="center"/>
          </w:tcPr>
          <w:p w14:paraId="143D76D4">
            <w:pPr>
              <w:spacing w:line="264" w:lineRule="auto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设计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技术（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0%）</w:t>
            </w:r>
          </w:p>
          <w:p w14:paraId="382CCCD3">
            <w:pPr>
              <w:spacing w:line="264" w:lineRule="auto"/>
              <w:ind w:firstLine="420" w:firstLineChars="0"/>
              <w:jc w:val="center"/>
              <w:rPr>
                <w:rFonts w:hint="default" w:ascii="仿宋" w:hAnsi="仿宋" w:eastAsia="仿宋" w:cs="仿宋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1" w:type="dxa"/>
            <w:noWrap w:val="0"/>
            <w:vAlign w:val="center"/>
          </w:tcPr>
          <w:p w14:paraId="7401D6A8">
            <w:pPr>
              <w:widowControl/>
              <w:ind w:firstLine="0" w:firstLineChars="0"/>
              <w:rPr>
                <w:rFonts w:hint="default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0分</w:t>
            </w:r>
          </w:p>
        </w:tc>
        <w:tc>
          <w:tcPr>
            <w:tcW w:w="5323" w:type="dxa"/>
            <w:noWrap w:val="0"/>
            <w:vAlign w:val="center"/>
          </w:tcPr>
          <w:p w14:paraId="2E8B0C44">
            <w:pPr>
              <w:widowControl/>
              <w:ind w:firstLine="0"/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根据设计方案进行评价。</w:t>
            </w:r>
          </w:p>
          <w:p w14:paraId="7B5C81ED">
            <w:pPr>
              <w:widowControl/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①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设计理念、方案齐全；能全面体现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医院儿童友好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理念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设计合理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结合医院IP形象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；具有很强的可实施性的得4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5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分。</w:t>
            </w:r>
          </w:p>
          <w:p w14:paraId="76E105F4">
            <w:pPr>
              <w:widowControl/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②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设计理念、方案齐全；设计一般；具有可实施性的得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-40分；</w:t>
            </w:r>
          </w:p>
          <w:p w14:paraId="3755B91A">
            <w:pPr>
              <w:widowControl/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③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设计方案不齐全、不能体现理念、设计合理实施性一般得0-2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分；</w:t>
            </w:r>
          </w:p>
          <w:p w14:paraId="101CD814">
            <w:pPr>
              <w:widowControl/>
              <w:ind w:firstLine="0" w:firstLineChars="0"/>
              <w:jc w:val="left"/>
              <w:rPr>
                <w:rFonts w:hint="default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④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不提供0分。</w:t>
            </w:r>
          </w:p>
        </w:tc>
        <w:tc>
          <w:tcPr>
            <w:tcW w:w="930" w:type="dxa"/>
            <w:noWrap w:val="0"/>
            <w:vAlign w:val="center"/>
          </w:tcPr>
          <w:p w14:paraId="0531463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6262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 w14:paraId="2249CF7F">
            <w:pPr>
              <w:spacing w:line="360" w:lineRule="auto"/>
              <w:ind w:firstLine="28"/>
              <w:jc w:val="center"/>
              <w:rPr>
                <w:rFonts w:hint="default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27" w:type="dxa"/>
            <w:noWrap w:val="0"/>
            <w:vAlign w:val="center"/>
          </w:tcPr>
          <w:p w14:paraId="675BEF55">
            <w:pPr>
              <w:widowControl/>
              <w:ind w:firstLine="0" w:firstLineChars="0"/>
              <w:jc w:val="center"/>
              <w:rPr>
                <w:rFonts w:hint="default" w:ascii="仿宋" w:hAnsi="仿宋" w:eastAsia="仿宋" w:cs="仿宋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项目实施方案（21%）</w:t>
            </w:r>
          </w:p>
        </w:tc>
        <w:tc>
          <w:tcPr>
            <w:tcW w:w="561" w:type="dxa"/>
            <w:noWrap w:val="0"/>
            <w:vAlign w:val="center"/>
          </w:tcPr>
          <w:p w14:paraId="35A2BD16">
            <w:pPr>
              <w:widowControl/>
              <w:ind w:firstLine="0" w:firstLineChars="0"/>
              <w:rPr>
                <w:rFonts w:hint="default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5323" w:type="dxa"/>
            <w:noWrap w:val="0"/>
            <w:vAlign w:val="center"/>
          </w:tcPr>
          <w:p w14:paraId="736E79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根据供应商提供的项目实施方案进行评审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该方案应包含：①项目实施计划、②具体实施内容、③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质量保障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方案、④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运行维护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方案、⑤应急故障处理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方案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⑥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安全保护措施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⑦进度保障方案。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完整提供上述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项内容的得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分；每有一项未提供扣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分，扣完为止；每有一处有缺陷扣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分，扣完为止。</w:t>
            </w:r>
          </w:p>
          <w:p w14:paraId="712E74B3">
            <w:pPr>
              <w:spacing w:after="78" w:afterLines="25"/>
              <w:ind w:firstLine="0" w:firstLineChars="0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缺陷是指：存在不适用项目实际情况的情形、凭空编造、套用其他项目方案、内容前后不一致、前后逻辑错误、涉及的规范及标准错误、地点区域错误、内容缺失、不符合采购需求、不可能实现的情形等任意一种情形）</w:t>
            </w:r>
          </w:p>
        </w:tc>
        <w:tc>
          <w:tcPr>
            <w:tcW w:w="930" w:type="dxa"/>
            <w:noWrap w:val="0"/>
            <w:vAlign w:val="center"/>
          </w:tcPr>
          <w:p w14:paraId="3CB517C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02B7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 w14:paraId="68D1D9DD">
            <w:pPr>
              <w:spacing w:line="360" w:lineRule="auto"/>
              <w:ind w:firstLine="28"/>
              <w:jc w:val="center"/>
              <w:rPr>
                <w:rFonts w:hint="default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27" w:type="dxa"/>
            <w:noWrap w:val="0"/>
            <w:vAlign w:val="center"/>
          </w:tcPr>
          <w:p w14:paraId="1D14A828">
            <w:pPr>
              <w:widowControl/>
              <w:ind w:firstLine="0" w:firstLineChars="0"/>
              <w:jc w:val="center"/>
              <w:rPr>
                <w:rFonts w:hint="default" w:ascii="仿宋" w:hAnsi="仿宋" w:eastAsia="仿宋" w:cs="仿宋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履约能力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（9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%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561" w:type="dxa"/>
            <w:noWrap w:val="0"/>
            <w:vAlign w:val="center"/>
          </w:tcPr>
          <w:p w14:paraId="27612DD1">
            <w:pPr>
              <w:widowControl/>
              <w:ind w:firstLine="0" w:firstLineChars="0"/>
              <w:rPr>
                <w:rFonts w:hint="default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 w14:paraId="169F29BE">
            <w:pPr>
              <w:spacing w:after="78" w:afterLines="25"/>
              <w:ind w:firstLine="0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供应商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提供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年至今类似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相关业绩证明，每提供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份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得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分；为政府、央企、国企单位服务的，每提供一份在原有基础上加1分，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最高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得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eastAsia="zh-CN"/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分。</w:t>
            </w:r>
          </w:p>
          <w:p w14:paraId="7E029036">
            <w:pPr>
              <w:spacing w:after="78" w:afterLines="25"/>
              <w:ind w:firstLine="0" w:firstLineChars="0"/>
              <w:textAlignment w:val="center"/>
              <w:rPr>
                <w:rFonts w:hint="default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注：提供中标通知书、合同复印件加盖供应商公章。</w:t>
            </w:r>
          </w:p>
        </w:tc>
        <w:tc>
          <w:tcPr>
            <w:tcW w:w="930" w:type="dxa"/>
            <w:noWrap w:val="0"/>
            <w:vAlign w:val="center"/>
          </w:tcPr>
          <w:p w14:paraId="0A71F29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CD514C9">
      <w:pPr>
        <w:pStyle w:val="3"/>
        <w:jc w:val="center"/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1BACBF72">
      <w:pPr>
        <w:pStyle w:val="3"/>
        <w:jc w:val="center"/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1AF195A8">
      <w:pPr>
        <w:pStyle w:val="3"/>
        <w:jc w:val="center"/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1BDF38A3">
      <w:pPr>
        <w:pStyle w:val="3"/>
        <w:jc w:val="center"/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0C24B77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61BEE00-1FB6-4E9B-8746-72B979545A47}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F2EB0DF3-279F-429C-BD95-506DBFB69363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CE4B62E7-32A4-4456-87F0-242E7390B59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435FBC"/>
    <w:rsid w:val="73435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2024-12-02T01:31:00Z</dcterms:created>
  <dc:creator>邱玥</dc:creator>
  <cp:lastModifiedBy>邱玥</cp:lastModifiedBy>
  <dcterms:modified xsi:type="dcterms:W3CDTF">2024-12-02T01:32:00Z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17472C47B16C435BAB43775218180D69_11</vt:lpwstr>
  </property>
</Properties>
</file>