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B49611">
      <w:pPr>
        <w:jc w:val="left"/>
        <w:rPr>
          <w:rFonts w:hint="default" w:ascii="Times New Roman" w:hAnsi="Times New Roman" w:eastAsia="方正公文小标宋" w:cs="Times New Roman"/>
          <w:sz w:val="32"/>
          <w:szCs w:val="32"/>
          <w:lang w:val="en-US" w:eastAsia="zh-CN"/>
        </w:rPr>
      </w:pPr>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14:textFill>
            <w14:solidFill>
              <w14:schemeClr w14:val="tx1"/>
            </w14:solidFill>
          </w14:textFill>
        </w:rPr>
        <w:t>综合评分明细表</w:t>
      </w:r>
    </w:p>
    <w:tbl>
      <w:tblPr>
        <w:tblStyle w:val="2"/>
        <w:tblpPr w:leftFromText="180" w:rightFromText="180" w:vertAnchor="text" w:tblpXSpec="center" w:tblpY="1"/>
        <w:tblOverlap w:val="never"/>
        <w:tblW w:w="10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5"/>
        <w:gridCol w:w="795"/>
        <w:gridCol w:w="6135"/>
        <w:gridCol w:w="556"/>
        <w:gridCol w:w="1230"/>
      </w:tblGrid>
      <w:tr w14:paraId="4CBE6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75" w:type="dxa"/>
            <w:vAlign w:val="center"/>
          </w:tcPr>
          <w:p w14:paraId="1E839D2B">
            <w:pPr>
              <w:spacing w:line="400" w:lineRule="exact"/>
              <w:ind w:firstLine="28"/>
              <w:jc w:val="center"/>
              <w:rPr>
                <w:rFonts w:ascii="仿宋" w:hAnsi="仿宋" w:eastAsia="仿宋"/>
                <w:szCs w:val="21"/>
              </w:rPr>
            </w:pPr>
            <w:r>
              <w:rPr>
                <w:rFonts w:hint="eastAsia" w:ascii="仿宋" w:hAnsi="仿宋" w:eastAsia="仿宋"/>
                <w:szCs w:val="21"/>
              </w:rPr>
              <w:t>序号</w:t>
            </w:r>
          </w:p>
        </w:tc>
        <w:tc>
          <w:tcPr>
            <w:tcW w:w="1275" w:type="dxa"/>
            <w:vAlign w:val="center"/>
          </w:tcPr>
          <w:p w14:paraId="1C42F060">
            <w:pPr>
              <w:spacing w:line="400" w:lineRule="exact"/>
              <w:ind w:firstLine="28"/>
              <w:jc w:val="center"/>
              <w:rPr>
                <w:rFonts w:ascii="仿宋" w:hAnsi="仿宋" w:eastAsia="仿宋"/>
                <w:szCs w:val="21"/>
              </w:rPr>
            </w:pPr>
            <w:r>
              <w:rPr>
                <w:rFonts w:hint="eastAsia" w:ascii="仿宋" w:hAnsi="仿宋" w:eastAsia="仿宋"/>
                <w:szCs w:val="21"/>
              </w:rPr>
              <w:t>评分因素</w:t>
            </w:r>
          </w:p>
          <w:p w14:paraId="045BA1F8">
            <w:pPr>
              <w:spacing w:line="400" w:lineRule="exact"/>
              <w:ind w:firstLine="28"/>
              <w:jc w:val="center"/>
              <w:rPr>
                <w:rFonts w:ascii="仿宋" w:hAnsi="仿宋" w:eastAsia="仿宋"/>
                <w:szCs w:val="21"/>
              </w:rPr>
            </w:pPr>
            <w:r>
              <w:rPr>
                <w:rFonts w:hint="eastAsia" w:ascii="仿宋" w:hAnsi="仿宋" w:eastAsia="仿宋"/>
                <w:szCs w:val="21"/>
              </w:rPr>
              <w:t>及权重</w:t>
            </w:r>
          </w:p>
        </w:tc>
        <w:tc>
          <w:tcPr>
            <w:tcW w:w="795" w:type="dxa"/>
            <w:vAlign w:val="center"/>
          </w:tcPr>
          <w:p w14:paraId="348ABE9B">
            <w:pPr>
              <w:spacing w:line="400" w:lineRule="exact"/>
              <w:ind w:firstLine="28"/>
              <w:jc w:val="center"/>
              <w:rPr>
                <w:rFonts w:ascii="仿宋" w:hAnsi="仿宋" w:eastAsia="仿宋"/>
                <w:szCs w:val="21"/>
              </w:rPr>
            </w:pPr>
            <w:r>
              <w:rPr>
                <w:rFonts w:hint="eastAsia" w:ascii="仿宋" w:hAnsi="仿宋" w:eastAsia="仿宋"/>
                <w:szCs w:val="21"/>
              </w:rPr>
              <w:t>分值</w:t>
            </w:r>
          </w:p>
        </w:tc>
        <w:tc>
          <w:tcPr>
            <w:tcW w:w="6135" w:type="dxa"/>
            <w:vAlign w:val="center"/>
          </w:tcPr>
          <w:p w14:paraId="1F57A109">
            <w:pPr>
              <w:spacing w:line="400" w:lineRule="exact"/>
              <w:ind w:firstLine="28"/>
              <w:jc w:val="center"/>
              <w:rPr>
                <w:rFonts w:ascii="仿宋" w:hAnsi="仿宋" w:eastAsia="仿宋"/>
                <w:szCs w:val="21"/>
              </w:rPr>
            </w:pPr>
            <w:bookmarkStart w:id="0" w:name="_GoBack"/>
            <w:bookmarkEnd w:id="0"/>
            <w:r>
              <w:rPr>
                <w:rFonts w:hint="eastAsia" w:ascii="仿宋" w:hAnsi="仿宋" w:eastAsia="仿宋"/>
                <w:szCs w:val="21"/>
              </w:rPr>
              <w:t>评分标准</w:t>
            </w:r>
          </w:p>
        </w:tc>
        <w:tc>
          <w:tcPr>
            <w:tcW w:w="556" w:type="dxa"/>
            <w:vAlign w:val="center"/>
          </w:tcPr>
          <w:p w14:paraId="73F8E34D">
            <w:pPr>
              <w:spacing w:line="400" w:lineRule="exact"/>
              <w:jc w:val="center"/>
              <w:rPr>
                <w:rFonts w:ascii="仿宋" w:hAnsi="仿宋" w:eastAsia="仿宋"/>
                <w:szCs w:val="21"/>
              </w:rPr>
            </w:pPr>
            <w:r>
              <w:rPr>
                <w:rFonts w:hint="eastAsia" w:ascii="仿宋" w:hAnsi="仿宋" w:eastAsia="仿宋"/>
                <w:szCs w:val="21"/>
              </w:rPr>
              <w:t>备注</w:t>
            </w:r>
          </w:p>
        </w:tc>
        <w:tc>
          <w:tcPr>
            <w:tcW w:w="1230" w:type="dxa"/>
            <w:vAlign w:val="center"/>
          </w:tcPr>
          <w:p w14:paraId="12CA2553">
            <w:pPr>
              <w:spacing w:line="400" w:lineRule="exact"/>
              <w:jc w:val="center"/>
              <w:rPr>
                <w:rFonts w:ascii="仿宋" w:hAnsi="仿宋" w:eastAsia="仿宋"/>
                <w:szCs w:val="21"/>
              </w:rPr>
            </w:pPr>
            <w:r>
              <w:rPr>
                <w:rFonts w:hint="eastAsia" w:ascii="仿宋" w:hAnsi="仿宋" w:eastAsia="仿宋"/>
                <w:szCs w:val="21"/>
              </w:rPr>
              <w:t>说明</w:t>
            </w:r>
          </w:p>
        </w:tc>
      </w:tr>
      <w:tr w14:paraId="5B4A7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675" w:type="dxa"/>
            <w:vAlign w:val="center"/>
          </w:tcPr>
          <w:p w14:paraId="7221FDF2">
            <w:pPr>
              <w:spacing w:line="400" w:lineRule="exact"/>
              <w:ind w:firstLine="28"/>
              <w:jc w:val="center"/>
              <w:rPr>
                <w:rFonts w:ascii="仿宋" w:hAnsi="仿宋" w:eastAsia="仿宋"/>
                <w:szCs w:val="21"/>
              </w:rPr>
            </w:pPr>
            <w:r>
              <w:rPr>
                <w:rFonts w:hint="eastAsia" w:ascii="仿宋" w:hAnsi="仿宋" w:eastAsia="仿宋"/>
                <w:szCs w:val="21"/>
              </w:rPr>
              <w:t>1</w:t>
            </w:r>
          </w:p>
        </w:tc>
        <w:tc>
          <w:tcPr>
            <w:tcW w:w="1275" w:type="dxa"/>
            <w:vAlign w:val="center"/>
          </w:tcPr>
          <w:p w14:paraId="0CEF6AAA">
            <w:pPr>
              <w:jc w:val="center"/>
              <w:rPr>
                <w:rFonts w:ascii="仿宋" w:hAnsi="仿宋" w:eastAsia="仿宋"/>
                <w:szCs w:val="21"/>
              </w:rPr>
            </w:pPr>
          </w:p>
          <w:p w14:paraId="7C626103">
            <w:pPr>
              <w:jc w:val="center"/>
              <w:rPr>
                <w:rFonts w:hint="eastAsia" w:ascii="仿宋" w:hAnsi="仿宋" w:eastAsia="仿宋"/>
                <w:szCs w:val="21"/>
              </w:rPr>
            </w:pPr>
            <w:r>
              <w:rPr>
                <w:rFonts w:hint="eastAsia" w:ascii="仿宋" w:hAnsi="仿宋" w:eastAsia="仿宋"/>
                <w:szCs w:val="21"/>
              </w:rPr>
              <w:t>报价</w:t>
            </w:r>
          </w:p>
          <w:p w14:paraId="7378226C">
            <w:pPr>
              <w:jc w:val="center"/>
              <w:rPr>
                <w:rFonts w:ascii="仿宋" w:hAnsi="仿宋" w:eastAsia="仿宋"/>
                <w:szCs w:val="21"/>
              </w:rPr>
            </w:pPr>
            <w:r>
              <w:rPr>
                <w:rFonts w:hint="eastAsia" w:ascii="仿宋" w:hAnsi="仿宋" w:eastAsia="仿宋"/>
                <w:szCs w:val="21"/>
              </w:rPr>
              <w:t>（</w:t>
            </w:r>
            <w:r>
              <w:rPr>
                <w:rFonts w:hint="eastAsia" w:ascii="仿宋" w:hAnsi="仿宋" w:eastAsia="仿宋"/>
                <w:szCs w:val="21"/>
                <w:lang w:val="en-US" w:eastAsia="zh-CN"/>
              </w:rPr>
              <w:t>15</w:t>
            </w:r>
            <w:r>
              <w:rPr>
                <w:rFonts w:hint="eastAsia" w:ascii="仿宋" w:hAnsi="仿宋" w:eastAsia="仿宋"/>
                <w:szCs w:val="21"/>
              </w:rPr>
              <w:t>%）</w:t>
            </w:r>
          </w:p>
          <w:p w14:paraId="19316DD4">
            <w:pPr>
              <w:jc w:val="center"/>
              <w:rPr>
                <w:rFonts w:ascii="仿宋" w:hAnsi="仿宋" w:eastAsia="仿宋"/>
                <w:szCs w:val="21"/>
              </w:rPr>
            </w:pPr>
          </w:p>
        </w:tc>
        <w:tc>
          <w:tcPr>
            <w:tcW w:w="795" w:type="dxa"/>
            <w:vAlign w:val="center"/>
          </w:tcPr>
          <w:p w14:paraId="673114E2">
            <w:pPr>
              <w:jc w:val="center"/>
              <w:rPr>
                <w:rFonts w:ascii="仿宋" w:hAnsi="仿宋" w:eastAsia="仿宋"/>
                <w:szCs w:val="21"/>
              </w:rPr>
            </w:pPr>
            <w:r>
              <w:rPr>
                <w:rFonts w:hint="eastAsia" w:ascii="仿宋" w:hAnsi="仿宋" w:eastAsia="仿宋"/>
                <w:szCs w:val="21"/>
                <w:lang w:val="en-US" w:eastAsia="zh-CN"/>
              </w:rPr>
              <w:t>15</w:t>
            </w:r>
            <w:r>
              <w:rPr>
                <w:rFonts w:hint="eastAsia" w:ascii="仿宋" w:hAnsi="仿宋" w:eastAsia="仿宋"/>
                <w:szCs w:val="21"/>
              </w:rPr>
              <w:t>分</w:t>
            </w:r>
          </w:p>
        </w:tc>
        <w:tc>
          <w:tcPr>
            <w:tcW w:w="6135" w:type="dxa"/>
            <w:vAlign w:val="center"/>
          </w:tcPr>
          <w:p w14:paraId="5C769AE4">
            <w:pPr>
              <w:rPr>
                <w:rFonts w:ascii="仿宋" w:hAnsi="仿宋" w:eastAsia="仿宋"/>
                <w:szCs w:val="21"/>
              </w:rPr>
            </w:pPr>
            <w:r>
              <w:rPr>
                <w:rFonts w:hint="eastAsia" w:ascii="仿宋" w:hAnsi="仿宋" w:eastAsia="仿宋"/>
                <w:szCs w:val="21"/>
                <w:lang w:val="en-US" w:eastAsia="zh-CN"/>
              </w:rPr>
              <w:t>投标人</w:t>
            </w:r>
            <w:r>
              <w:rPr>
                <w:rFonts w:hint="eastAsia" w:ascii="仿宋" w:hAnsi="仿宋" w:eastAsia="仿宋"/>
                <w:szCs w:val="21"/>
              </w:rPr>
              <w:t>对病区住院患者陪护管理费进行报价，管理费报价方式为病区住院患者陪护营业收入百分比。报价百分比最高的报价为基准价，其价格分为满分，其他价格分按下列公式计算：报价得分＝（投标报价/基准价）×15。</w:t>
            </w:r>
          </w:p>
        </w:tc>
        <w:tc>
          <w:tcPr>
            <w:tcW w:w="556" w:type="dxa"/>
            <w:vAlign w:val="center"/>
          </w:tcPr>
          <w:p w14:paraId="78FBF3D7">
            <w:pPr>
              <w:jc w:val="center"/>
              <w:rPr>
                <w:rFonts w:ascii="仿宋" w:hAnsi="仿宋" w:eastAsia="仿宋"/>
                <w:szCs w:val="21"/>
              </w:rPr>
            </w:pPr>
            <w:r>
              <w:rPr>
                <w:rFonts w:hint="eastAsia" w:ascii="仿宋" w:hAnsi="仿宋" w:eastAsia="仿宋"/>
                <w:szCs w:val="21"/>
              </w:rPr>
              <w:t>/</w:t>
            </w:r>
          </w:p>
        </w:tc>
        <w:tc>
          <w:tcPr>
            <w:tcW w:w="1230" w:type="dxa"/>
            <w:vAlign w:val="center"/>
          </w:tcPr>
          <w:p w14:paraId="6E8805D3">
            <w:pPr>
              <w:jc w:val="center"/>
              <w:rPr>
                <w:rFonts w:ascii="仿宋" w:hAnsi="仿宋" w:eastAsia="仿宋"/>
                <w:szCs w:val="21"/>
              </w:rPr>
            </w:pPr>
            <w:r>
              <w:rPr>
                <w:rFonts w:hint="eastAsia" w:ascii="仿宋" w:hAnsi="仿宋" w:eastAsia="仿宋"/>
                <w:szCs w:val="21"/>
              </w:rPr>
              <w:t>主要评分因素</w:t>
            </w:r>
          </w:p>
        </w:tc>
      </w:tr>
      <w:tr w14:paraId="03F6E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675" w:type="dxa"/>
            <w:vAlign w:val="center"/>
          </w:tcPr>
          <w:p w14:paraId="44309E46">
            <w:pPr>
              <w:spacing w:line="400" w:lineRule="exact"/>
              <w:ind w:firstLine="28"/>
              <w:jc w:val="center"/>
              <w:rPr>
                <w:rFonts w:ascii="仿宋" w:hAnsi="仿宋" w:eastAsia="仿宋"/>
                <w:szCs w:val="21"/>
              </w:rPr>
            </w:pPr>
            <w:r>
              <w:rPr>
                <w:rFonts w:hint="eastAsia" w:ascii="仿宋" w:hAnsi="仿宋" w:eastAsia="仿宋"/>
                <w:szCs w:val="21"/>
              </w:rPr>
              <w:t>2</w:t>
            </w:r>
          </w:p>
        </w:tc>
        <w:tc>
          <w:tcPr>
            <w:tcW w:w="1275" w:type="dxa"/>
            <w:vAlign w:val="center"/>
          </w:tcPr>
          <w:p w14:paraId="1A854F80">
            <w:pPr>
              <w:jc w:val="center"/>
              <w:rPr>
                <w:rFonts w:ascii="仿宋" w:hAnsi="仿宋" w:eastAsia="仿宋"/>
                <w:szCs w:val="21"/>
              </w:rPr>
            </w:pPr>
            <w:r>
              <w:rPr>
                <w:rFonts w:hint="eastAsia" w:ascii="仿宋" w:hAnsi="仿宋" w:eastAsia="仿宋"/>
                <w:szCs w:val="21"/>
                <w:lang w:val="en-US" w:eastAsia="zh-CN"/>
              </w:rPr>
              <w:t>服务</w:t>
            </w:r>
            <w:r>
              <w:rPr>
                <w:rFonts w:hint="eastAsia" w:ascii="仿宋" w:hAnsi="仿宋" w:eastAsia="仿宋"/>
                <w:szCs w:val="21"/>
              </w:rPr>
              <w:t>要求（</w:t>
            </w:r>
            <w:r>
              <w:rPr>
                <w:rFonts w:hint="eastAsia" w:ascii="仿宋" w:hAnsi="仿宋" w:eastAsia="仿宋"/>
                <w:szCs w:val="21"/>
                <w:lang w:val="en-US" w:eastAsia="zh-CN"/>
              </w:rPr>
              <w:t>36</w:t>
            </w:r>
            <w:r>
              <w:rPr>
                <w:rFonts w:hint="eastAsia" w:ascii="仿宋" w:hAnsi="仿宋" w:eastAsia="仿宋"/>
                <w:szCs w:val="21"/>
              </w:rPr>
              <w:t>%）</w:t>
            </w:r>
          </w:p>
        </w:tc>
        <w:tc>
          <w:tcPr>
            <w:tcW w:w="795" w:type="dxa"/>
            <w:vAlign w:val="center"/>
          </w:tcPr>
          <w:p w14:paraId="54EED75A">
            <w:pPr>
              <w:jc w:val="center"/>
              <w:rPr>
                <w:rFonts w:ascii="仿宋" w:hAnsi="仿宋" w:eastAsia="仿宋"/>
                <w:szCs w:val="21"/>
              </w:rPr>
            </w:pPr>
            <w:r>
              <w:rPr>
                <w:rFonts w:hint="eastAsia" w:ascii="仿宋" w:hAnsi="仿宋" w:eastAsia="仿宋"/>
                <w:szCs w:val="21"/>
                <w:lang w:val="en-US" w:eastAsia="zh-CN"/>
              </w:rPr>
              <w:t>36</w:t>
            </w:r>
            <w:r>
              <w:rPr>
                <w:rFonts w:hint="eastAsia" w:ascii="仿宋" w:hAnsi="仿宋" w:eastAsia="仿宋"/>
                <w:szCs w:val="21"/>
              </w:rPr>
              <w:t>分</w:t>
            </w:r>
          </w:p>
        </w:tc>
        <w:tc>
          <w:tcPr>
            <w:tcW w:w="6135" w:type="dxa"/>
            <w:vAlign w:val="center"/>
          </w:tcPr>
          <w:p w14:paraId="1BF7B48A"/>
          <w:p w14:paraId="77B4F402">
            <w:pPr>
              <w:rPr>
                <w:rFonts w:hint="eastAsia" w:ascii="仿宋" w:hAnsi="仿宋" w:eastAsia="仿宋"/>
                <w:szCs w:val="21"/>
              </w:rPr>
            </w:pPr>
            <w:r>
              <w:rPr>
                <w:rFonts w:hint="eastAsia" w:ascii="仿宋" w:hAnsi="仿宋" w:eastAsia="仿宋"/>
                <w:szCs w:val="21"/>
              </w:rPr>
              <w:t>投标人针对</w:t>
            </w:r>
            <w:r>
              <w:rPr>
                <w:rFonts w:hint="eastAsia" w:ascii="仿宋" w:hAnsi="仿宋" w:eastAsia="仿宋"/>
                <w:szCs w:val="21"/>
                <w:lang w:val="en-US" w:eastAsia="zh-CN"/>
              </w:rPr>
              <w:t>服务</w:t>
            </w:r>
            <w:r>
              <w:rPr>
                <w:rFonts w:hint="eastAsia" w:ascii="仿宋" w:hAnsi="仿宋" w:eastAsia="仿宋"/>
                <w:szCs w:val="21"/>
              </w:rPr>
              <w:t>要求条款的响应得分规则如下： 1.一般</w:t>
            </w:r>
            <w:r>
              <w:rPr>
                <w:rFonts w:hint="eastAsia" w:ascii="仿宋" w:hAnsi="仿宋" w:eastAsia="仿宋"/>
                <w:szCs w:val="21"/>
                <w:lang w:val="en-US" w:eastAsia="zh-CN"/>
              </w:rPr>
              <w:t>服务</w:t>
            </w:r>
            <w:r>
              <w:rPr>
                <w:rFonts w:hint="eastAsia" w:ascii="仿宋" w:hAnsi="仿宋" w:eastAsia="仿宋"/>
                <w:szCs w:val="21"/>
              </w:rPr>
              <w:t>要求条款响应得分=（投标人满足一般</w:t>
            </w:r>
            <w:r>
              <w:rPr>
                <w:rFonts w:hint="eastAsia" w:ascii="仿宋" w:hAnsi="仿宋" w:eastAsia="仿宋"/>
                <w:szCs w:val="21"/>
                <w:lang w:val="en-US" w:eastAsia="zh-CN"/>
              </w:rPr>
              <w:t>服务</w:t>
            </w:r>
            <w:r>
              <w:rPr>
                <w:rFonts w:hint="eastAsia" w:ascii="仿宋" w:hAnsi="仿宋" w:eastAsia="仿宋"/>
                <w:szCs w:val="21"/>
              </w:rPr>
              <w:t>要求条款的数量÷对应包件中一般</w:t>
            </w:r>
            <w:r>
              <w:rPr>
                <w:rFonts w:hint="eastAsia" w:ascii="仿宋" w:hAnsi="仿宋" w:eastAsia="仿宋"/>
                <w:szCs w:val="21"/>
                <w:lang w:val="en-US" w:eastAsia="zh-CN"/>
              </w:rPr>
              <w:t>服务</w:t>
            </w:r>
            <w:r>
              <w:rPr>
                <w:rFonts w:hint="eastAsia" w:ascii="仿宋" w:hAnsi="仿宋" w:eastAsia="仿宋"/>
                <w:szCs w:val="21"/>
              </w:rPr>
              <w:t>要求条款的总数量）×</w:t>
            </w:r>
            <w:r>
              <w:rPr>
                <w:rFonts w:hint="eastAsia" w:ascii="仿宋" w:hAnsi="仿宋" w:eastAsia="仿宋"/>
                <w:szCs w:val="21"/>
                <w:lang w:val="en-US" w:eastAsia="zh-CN"/>
              </w:rPr>
              <w:t>14</w:t>
            </w:r>
            <w:r>
              <w:rPr>
                <w:rFonts w:hint="eastAsia" w:ascii="仿宋" w:hAnsi="仿宋" w:eastAsia="仿宋"/>
                <w:szCs w:val="21"/>
              </w:rPr>
              <w:t>分。一般</w:t>
            </w:r>
            <w:r>
              <w:rPr>
                <w:rFonts w:hint="eastAsia" w:ascii="仿宋" w:hAnsi="仿宋" w:eastAsia="仿宋"/>
                <w:szCs w:val="21"/>
                <w:lang w:val="en-US" w:eastAsia="zh-CN"/>
              </w:rPr>
              <w:t>服务</w:t>
            </w:r>
            <w:r>
              <w:rPr>
                <w:rFonts w:hint="eastAsia" w:ascii="仿宋" w:hAnsi="仿宋" w:eastAsia="仿宋"/>
                <w:szCs w:val="21"/>
              </w:rPr>
              <w:t>要求条款：</w:t>
            </w:r>
            <w:r>
              <w:rPr>
                <w:rFonts w:hint="eastAsia" w:ascii="仿宋" w:hAnsi="仿宋" w:eastAsia="仿宋"/>
                <w:szCs w:val="21"/>
                <w:lang w:val="en-US" w:eastAsia="zh-CN"/>
              </w:rPr>
              <w:t xml:space="preserve">7   </w:t>
            </w:r>
            <w:r>
              <w:rPr>
                <w:rFonts w:hint="eastAsia" w:ascii="仿宋" w:hAnsi="仿宋" w:eastAsia="仿宋"/>
                <w:szCs w:val="21"/>
              </w:rPr>
              <w:t>条。 2.投标人针对“▲”</w:t>
            </w:r>
            <w:r>
              <w:rPr>
                <w:rFonts w:hint="eastAsia" w:ascii="仿宋" w:hAnsi="仿宋" w:eastAsia="仿宋"/>
                <w:szCs w:val="21"/>
                <w:lang w:val="en-US" w:eastAsia="zh-CN"/>
              </w:rPr>
              <w:t>服务</w:t>
            </w:r>
            <w:r>
              <w:rPr>
                <w:rFonts w:hint="eastAsia" w:ascii="仿宋" w:hAnsi="仿宋" w:eastAsia="仿宋"/>
                <w:szCs w:val="21"/>
              </w:rPr>
              <w:t>要求条款的响应得分规则如下：“▲”</w:t>
            </w:r>
            <w:r>
              <w:rPr>
                <w:rFonts w:hint="eastAsia" w:ascii="仿宋" w:hAnsi="仿宋" w:eastAsia="仿宋"/>
                <w:szCs w:val="21"/>
                <w:lang w:val="en-US" w:eastAsia="zh-CN"/>
              </w:rPr>
              <w:t>服务</w:t>
            </w:r>
            <w:r>
              <w:rPr>
                <w:rFonts w:hint="eastAsia" w:ascii="仿宋" w:hAnsi="仿宋" w:eastAsia="仿宋"/>
                <w:szCs w:val="21"/>
              </w:rPr>
              <w:t>要求条款响应得分=（投标人满足“▲”</w:t>
            </w:r>
            <w:r>
              <w:rPr>
                <w:rFonts w:hint="eastAsia" w:ascii="仿宋" w:hAnsi="仿宋" w:eastAsia="仿宋"/>
                <w:szCs w:val="21"/>
                <w:lang w:val="en-US" w:eastAsia="zh-CN"/>
              </w:rPr>
              <w:t>服务</w:t>
            </w:r>
            <w:r>
              <w:rPr>
                <w:rFonts w:hint="eastAsia" w:ascii="仿宋" w:hAnsi="仿宋" w:eastAsia="仿宋"/>
                <w:szCs w:val="21"/>
              </w:rPr>
              <w:t>要求条款的数量÷对应包件中“▲”</w:t>
            </w:r>
            <w:r>
              <w:rPr>
                <w:rFonts w:hint="eastAsia" w:ascii="仿宋" w:hAnsi="仿宋" w:eastAsia="仿宋"/>
                <w:szCs w:val="21"/>
                <w:lang w:val="en-US" w:eastAsia="zh-CN"/>
              </w:rPr>
              <w:t>服务</w:t>
            </w:r>
            <w:r>
              <w:rPr>
                <w:rFonts w:hint="eastAsia" w:ascii="仿宋" w:hAnsi="仿宋" w:eastAsia="仿宋"/>
                <w:szCs w:val="21"/>
              </w:rPr>
              <w:t>要求条款的总数量）×</w:t>
            </w:r>
            <w:r>
              <w:rPr>
                <w:rFonts w:hint="eastAsia" w:ascii="仿宋" w:hAnsi="仿宋" w:eastAsia="仿宋"/>
                <w:szCs w:val="21"/>
                <w:lang w:val="en-US" w:eastAsia="zh-CN"/>
              </w:rPr>
              <w:t>22</w:t>
            </w:r>
            <w:r>
              <w:rPr>
                <w:rFonts w:hint="eastAsia" w:ascii="仿宋" w:hAnsi="仿宋" w:eastAsia="仿宋"/>
                <w:szCs w:val="21"/>
              </w:rPr>
              <w:t>分。“▲”</w:t>
            </w:r>
            <w:r>
              <w:rPr>
                <w:rFonts w:hint="eastAsia" w:ascii="仿宋" w:hAnsi="仿宋" w:eastAsia="仿宋"/>
                <w:szCs w:val="21"/>
                <w:lang w:val="en-US" w:eastAsia="zh-CN"/>
              </w:rPr>
              <w:t>服务</w:t>
            </w:r>
            <w:r>
              <w:rPr>
                <w:rFonts w:hint="eastAsia" w:ascii="仿宋" w:hAnsi="仿宋" w:eastAsia="仿宋"/>
                <w:szCs w:val="21"/>
              </w:rPr>
              <w:t>要求条款：</w:t>
            </w:r>
            <w:r>
              <w:rPr>
                <w:rFonts w:hint="eastAsia" w:ascii="仿宋" w:hAnsi="仿宋" w:eastAsia="仿宋"/>
                <w:szCs w:val="21"/>
                <w:lang w:val="en-US" w:eastAsia="zh-CN"/>
              </w:rPr>
              <w:t>4</w:t>
            </w:r>
            <w:r>
              <w:rPr>
                <w:rFonts w:hint="eastAsia" w:ascii="仿宋" w:hAnsi="仿宋" w:eastAsia="仿宋"/>
                <w:szCs w:val="21"/>
              </w:rPr>
              <w:t>条。</w:t>
            </w:r>
          </w:p>
          <w:p w14:paraId="5C5ABE9B"/>
        </w:tc>
        <w:tc>
          <w:tcPr>
            <w:tcW w:w="556" w:type="dxa"/>
            <w:vAlign w:val="center"/>
          </w:tcPr>
          <w:p w14:paraId="23C8665A">
            <w:pPr>
              <w:jc w:val="center"/>
              <w:rPr>
                <w:rFonts w:ascii="仿宋" w:hAnsi="仿宋" w:eastAsia="仿宋"/>
                <w:szCs w:val="21"/>
              </w:rPr>
            </w:pPr>
            <w:r>
              <w:rPr>
                <w:rFonts w:hint="eastAsia" w:ascii="仿宋" w:hAnsi="仿宋" w:eastAsia="仿宋"/>
                <w:szCs w:val="21"/>
              </w:rPr>
              <w:t>/</w:t>
            </w:r>
          </w:p>
        </w:tc>
        <w:tc>
          <w:tcPr>
            <w:tcW w:w="1230" w:type="dxa"/>
            <w:vAlign w:val="center"/>
          </w:tcPr>
          <w:p w14:paraId="6AF308E4">
            <w:pPr>
              <w:jc w:val="center"/>
              <w:rPr>
                <w:rFonts w:ascii="仿宋" w:hAnsi="仿宋" w:eastAsia="仿宋"/>
                <w:szCs w:val="21"/>
              </w:rPr>
            </w:pPr>
            <w:r>
              <w:rPr>
                <w:rFonts w:hint="eastAsia" w:ascii="仿宋" w:hAnsi="仿宋" w:eastAsia="仿宋"/>
                <w:szCs w:val="21"/>
              </w:rPr>
              <w:t>技术类评分因素</w:t>
            </w:r>
          </w:p>
        </w:tc>
      </w:tr>
      <w:tr w14:paraId="2E2A1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8" w:hRule="atLeast"/>
          <w:jc w:val="center"/>
        </w:trPr>
        <w:tc>
          <w:tcPr>
            <w:tcW w:w="675" w:type="dxa"/>
            <w:vAlign w:val="center"/>
          </w:tcPr>
          <w:p w14:paraId="129C125E">
            <w:pPr>
              <w:spacing w:line="400" w:lineRule="exact"/>
              <w:ind w:firstLine="28"/>
              <w:jc w:val="center"/>
              <w:rPr>
                <w:rFonts w:ascii="仿宋" w:hAnsi="仿宋" w:eastAsia="仿宋"/>
                <w:szCs w:val="21"/>
              </w:rPr>
            </w:pPr>
            <w:r>
              <w:rPr>
                <w:rFonts w:hint="eastAsia" w:ascii="仿宋" w:hAnsi="仿宋" w:eastAsia="仿宋"/>
                <w:szCs w:val="21"/>
              </w:rPr>
              <w:t>3</w:t>
            </w:r>
          </w:p>
        </w:tc>
        <w:tc>
          <w:tcPr>
            <w:tcW w:w="1275" w:type="dxa"/>
            <w:vAlign w:val="center"/>
          </w:tcPr>
          <w:p w14:paraId="1A9EF4F2">
            <w:pPr>
              <w:jc w:val="center"/>
              <w:rPr>
                <w:rFonts w:ascii="仿宋" w:hAnsi="仿宋" w:eastAsia="仿宋"/>
                <w:szCs w:val="21"/>
              </w:rPr>
            </w:pPr>
            <w:r>
              <w:rPr>
                <w:rFonts w:hint="eastAsia" w:ascii="仿宋" w:hAnsi="仿宋" w:eastAsia="仿宋"/>
                <w:szCs w:val="21"/>
                <w:lang w:val="en-US" w:eastAsia="zh-CN"/>
              </w:rPr>
              <w:t>履约能力</w:t>
            </w:r>
            <w:r>
              <w:rPr>
                <w:rFonts w:hint="eastAsia" w:ascii="仿宋" w:hAnsi="仿宋" w:eastAsia="仿宋"/>
                <w:szCs w:val="21"/>
              </w:rPr>
              <w:t>（</w:t>
            </w:r>
            <w:r>
              <w:rPr>
                <w:rFonts w:hint="eastAsia" w:ascii="仿宋" w:hAnsi="仿宋" w:eastAsia="仿宋"/>
                <w:szCs w:val="21"/>
                <w:lang w:val="en-US" w:eastAsia="zh-CN"/>
              </w:rPr>
              <w:t>12</w:t>
            </w:r>
            <w:r>
              <w:rPr>
                <w:rFonts w:ascii="仿宋" w:hAnsi="仿宋" w:eastAsia="仿宋"/>
                <w:szCs w:val="21"/>
              </w:rPr>
              <w:t>%</w:t>
            </w:r>
            <w:r>
              <w:rPr>
                <w:rFonts w:hint="eastAsia" w:ascii="仿宋" w:hAnsi="仿宋" w:eastAsia="仿宋"/>
                <w:szCs w:val="21"/>
              </w:rPr>
              <w:t>）</w:t>
            </w:r>
          </w:p>
        </w:tc>
        <w:tc>
          <w:tcPr>
            <w:tcW w:w="795" w:type="dxa"/>
            <w:vAlign w:val="center"/>
          </w:tcPr>
          <w:p w14:paraId="0648E837">
            <w:pPr>
              <w:jc w:val="center"/>
              <w:rPr>
                <w:rFonts w:ascii="仿宋" w:hAnsi="仿宋" w:eastAsia="仿宋"/>
                <w:szCs w:val="21"/>
              </w:rPr>
            </w:pPr>
            <w:r>
              <w:rPr>
                <w:rFonts w:hint="eastAsia" w:ascii="仿宋" w:hAnsi="仿宋" w:eastAsia="仿宋"/>
                <w:szCs w:val="21"/>
                <w:lang w:val="en-US" w:eastAsia="zh-CN"/>
              </w:rPr>
              <w:t>12</w:t>
            </w:r>
            <w:r>
              <w:rPr>
                <w:rFonts w:hint="eastAsia" w:ascii="仿宋" w:hAnsi="仿宋" w:eastAsia="仿宋"/>
                <w:szCs w:val="21"/>
              </w:rPr>
              <w:t>分</w:t>
            </w:r>
          </w:p>
        </w:tc>
        <w:tc>
          <w:tcPr>
            <w:tcW w:w="6135" w:type="dxa"/>
            <w:vAlign w:val="center"/>
          </w:tcPr>
          <w:p w14:paraId="72B8AF51">
            <w:pPr>
              <w:rPr>
                <w:rFonts w:hint="eastAsia" w:ascii="仿宋" w:hAnsi="仿宋" w:eastAsia="仿宋"/>
                <w:szCs w:val="21"/>
              </w:rPr>
            </w:pPr>
            <w:r>
              <w:rPr>
                <w:rFonts w:hint="eastAsia" w:ascii="仿宋" w:hAnsi="仿宋" w:eastAsia="仿宋"/>
                <w:szCs w:val="21"/>
                <w:lang w:val="en-US" w:eastAsia="zh-CN"/>
              </w:rPr>
              <w:t>1.投标人</w:t>
            </w:r>
            <w:r>
              <w:rPr>
                <w:rFonts w:hint="eastAsia" w:ascii="仿宋" w:hAnsi="仿宋" w:eastAsia="仿宋"/>
                <w:szCs w:val="21"/>
              </w:rPr>
              <w:t>自2021年1月1日以来（以合同签订时间为准）承接过</w:t>
            </w:r>
            <w:r>
              <w:rPr>
                <w:rFonts w:hint="eastAsia" w:ascii="仿宋" w:hAnsi="仿宋" w:eastAsia="仿宋"/>
                <w:szCs w:val="21"/>
                <w:lang w:val="en-US" w:eastAsia="zh-CN"/>
              </w:rPr>
              <w:t>医疗机构类似</w:t>
            </w:r>
            <w:r>
              <w:rPr>
                <w:rFonts w:hint="eastAsia" w:ascii="仿宋" w:hAnsi="仿宋" w:eastAsia="仿宋"/>
                <w:szCs w:val="21"/>
              </w:rPr>
              <w:t>陪护服务业绩的，每有1个业绩得2.5分，本项最高得10分。</w:t>
            </w:r>
          </w:p>
          <w:p w14:paraId="14BF5A5F">
            <w:pPr>
              <w:rPr>
                <w:rFonts w:hint="eastAsia" w:ascii="仿宋" w:hAnsi="仿宋" w:eastAsia="仿宋"/>
                <w:szCs w:val="21"/>
              </w:rPr>
            </w:pPr>
            <w:r>
              <w:rPr>
                <w:rFonts w:hint="eastAsia" w:ascii="仿宋" w:hAnsi="仿宋" w:eastAsia="仿宋"/>
                <w:szCs w:val="21"/>
              </w:rPr>
              <w:t>注：响应文件中同时提供合同复印件，未提供不得分；同一家采购单位不同周期的合同不重复加分。</w:t>
            </w:r>
          </w:p>
          <w:p w14:paraId="146DA24C">
            <w:pPr>
              <w:numPr>
                <w:ilvl w:val="0"/>
                <w:numId w:val="1"/>
              </w:numPr>
              <w:rPr>
                <w:rFonts w:hint="eastAsia" w:ascii="仿宋" w:hAnsi="仿宋" w:eastAsia="仿宋"/>
                <w:szCs w:val="21"/>
                <w:lang w:val="en-US" w:eastAsia="zh-CN"/>
              </w:rPr>
            </w:pPr>
            <w:r>
              <w:rPr>
                <w:rFonts w:hint="eastAsia" w:ascii="仿宋" w:hAnsi="仿宋" w:eastAsia="仿宋"/>
                <w:szCs w:val="21"/>
                <w:lang w:val="en-US" w:eastAsia="zh-CN"/>
              </w:rPr>
              <w:t>企业资质：</w:t>
            </w:r>
          </w:p>
          <w:p w14:paraId="0BF21C99">
            <w:pPr>
              <w:numPr>
                <w:ilvl w:val="0"/>
                <w:numId w:val="0"/>
              </w:numPr>
              <w:rPr>
                <w:rFonts w:hint="default" w:ascii="仿宋" w:hAnsi="仿宋" w:eastAsia="仿宋"/>
                <w:szCs w:val="21"/>
                <w:lang w:val="en-US" w:eastAsia="zh-CN"/>
              </w:rPr>
            </w:pPr>
            <w:r>
              <w:rPr>
                <w:rFonts w:hint="default" w:ascii="仿宋" w:hAnsi="仿宋" w:eastAsia="仿宋"/>
                <w:szCs w:val="21"/>
                <w:lang w:val="en-US" w:eastAsia="zh-CN"/>
              </w:rPr>
              <w:t>供应商通过ISO9001质量管理体系论证的得2分。</w:t>
            </w:r>
          </w:p>
          <w:p w14:paraId="36317761">
            <w:pPr>
              <w:numPr>
                <w:ilvl w:val="0"/>
                <w:numId w:val="0"/>
              </w:numPr>
              <w:rPr>
                <w:rFonts w:hint="default" w:ascii="仿宋" w:hAnsi="仿宋" w:eastAsia="仿宋"/>
                <w:szCs w:val="21"/>
                <w:lang w:val="en-US" w:eastAsia="zh-CN"/>
              </w:rPr>
            </w:pPr>
            <w:r>
              <w:rPr>
                <w:rFonts w:hint="eastAsia" w:ascii="仿宋" w:hAnsi="仿宋" w:eastAsia="仿宋"/>
                <w:szCs w:val="21"/>
                <w:lang w:val="en-US" w:eastAsia="zh-CN"/>
              </w:rPr>
              <w:t>注：</w:t>
            </w:r>
            <w:r>
              <w:rPr>
                <w:rFonts w:hint="default" w:ascii="仿宋" w:hAnsi="仿宋" w:eastAsia="仿宋"/>
                <w:szCs w:val="21"/>
                <w:lang w:val="en-US" w:eastAsia="zh-CN"/>
              </w:rPr>
              <w:t>提供证书复印件。</w:t>
            </w:r>
          </w:p>
        </w:tc>
        <w:tc>
          <w:tcPr>
            <w:tcW w:w="556" w:type="dxa"/>
            <w:vAlign w:val="center"/>
          </w:tcPr>
          <w:p w14:paraId="04BB39BF">
            <w:pPr>
              <w:jc w:val="center"/>
              <w:rPr>
                <w:rFonts w:ascii="仿宋" w:hAnsi="仿宋" w:eastAsia="仿宋"/>
                <w:szCs w:val="21"/>
              </w:rPr>
            </w:pPr>
            <w:r>
              <w:rPr>
                <w:rFonts w:ascii="仿宋" w:hAnsi="仿宋" w:eastAsia="仿宋"/>
                <w:szCs w:val="21"/>
              </w:rPr>
              <w:t>/</w:t>
            </w:r>
          </w:p>
        </w:tc>
        <w:tc>
          <w:tcPr>
            <w:tcW w:w="1230" w:type="dxa"/>
            <w:vAlign w:val="center"/>
          </w:tcPr>
          <w:p w14:paraId="68013105">
            <w:pPr>
              <w:jc w:val="center"/>
              <w:rPr>
                <w:rFonts w:ascii="仿宋" w:hAnsi="仿宋" w:eastAsia="仿宋"/>
                <w:szCs w:val="21"/>
              </w:rPr>
            </w:pPr>
            <w:r>
              <w:rPr>
                <w:rFonts w:hint="eastAsia" w:ascii="仿宋" w:hAnsi="仿宋" w:eastAsia="仿宋"/>
                <w:szCs w:val="21"/>
              </w:rPr>
              <w:t>共同评分因素</w:t>
            </w:r>
          </w:p>
        </w:tc>
      </w:tr>
      <w:tr w14:paraId="46F77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3" w:hRule="atLeast"/>
          <w:jc w:val="center"/>
        </w:trPr>
        <w:tc>
          <w:tcPr>
            <w:tcW w:w="675" w:type="dxa"/>
            <w:vMerge w:val="restart"/>
            <w:vAlign w:val="center"/>
          </w:tcPr>
          <w:p w14:paraId="0CC3CAE3">
            <w:pPr>
              <w:spacing w:line="400" w:lineRule="exact"/>
              <w:ind w:firstLine="28"/>
              <w:jc w:val="center"/>
              <w:rPr>
                <w:rFonts w:hint="eastAsia" w:ascii="仿宋" w:hAnsi="仿宋" w:eastAsia="仿宋"/>
                <w:szCs w:val="21"/>
                <w:lang w:val="en-US" w:eastAsia="zh-CN"/>
              </w:rPr>
            </w:pPr>
            <w:r>
              <w:rPr>
                <w:rFonts w:hint="eastAsia" w:ascii="仿宋" w:hAnsi="仿宋" w:eastAsia="仿宋"/>
                <w:szCs w:val="21"/>
                <w:lang w:val="en-US" w:eastAsia="zh-CN"/>
              </w:rPr>
              <w:t>4</w:t>
            </w:r>
          </w:p>
        </w:tc>
        <w:tc>
          <w:tcPr>
            <w:tcW w:w="1275" w:type="dxa"/>
            <w:vMerge w:val="restart"/>
            <w:vAlign w:val="center"/>
          </w:tcPr>
          <w:p w14:paraId="66823B0C">
            <w:pPr>
              <w:jc w:val="center"/>
              <w:rPr>
                <w:rFonts w:hint="default" w:ascii="仿宋" w:hAnsi="仿宋" w:eastAsia="仿宋"/>
                <w:szCs w:val="21"/>
                <w:lang w:val="en-US" w:eastAsia="zh-CN"/>
              </w:rPr>
            </w:pPr>
            <w:r>
              <w:rPr>
                <w:rFonts w:hint="eastAsia" w:ascii="仿宋" w:hAnsi="仿宋" w:eastAsia="仿宋"/>
                <w:szCs w:val="21"/>
                <w:lang w:val="en-US" w:eastAsia="zh-CN"/>
              </w:rPr>
              <w:t>项目实施方案（28%）</w:t>
            </w:r>
          </w:p>
        </w:tc>
        <w:tc>
          <w:tcPr>
            <w:tcW w:w="795" w:type="dxa"/>
            <w:vMerge w:val="restart"/>
            <w:vAlign w:val="center"/>
          </w:tcPr>
          <w:p w14:paraId="42B3FA92">
            <w:pPr>
              <w:jc w:val="center"/>
              <w:rPr>
                <w:rFonts w:hint="default" w:ascii="仿宋" w:hAnsi="仿宋" w:eastAsia="仿宋"/>
                <w:szCs w:val="21"/>
                <w:lang w:val="en-US" w:eastAsia="zh-CN"/>
              </w:rPr>
            </w:pPr>
            <w:r>
              <w:rPr>
                <w:rFonts w:hint="eastAsia" w:ascii="仿宋" w:hAnsi="仿宋" w:eastAsia="仿宋"/>
                <w:szCs w:val="21"/>
                <w:lang w:val="en-US" w:eastAsia="zh-CN"/>
              </w:rPr>
              <w:t>28分</w:t>
            </w:r>
          </w:p>
        </w:tc>
        <w:tc>
          <w:tcPr>
            <w:tcW w:w="6135" w:type="dxa"/>
            <w:vAlign w:val="center"/>
          </w:tcPr>
          <w:p w14:paraId="653CD5B8">
            <w:pPr>
              <w:rPr>
                <w:rFonts w:hint="default" w:ascii="仿宋" w:hAnsi="仿宋" w:eastAsia="仿宋"/>
                <w:szCs w:val="21"/>
                <w:lang w:val="en-US" w:eastAsia="zh-CN"/>
              </w:rPr>
            </w:pPr>
            <w:r>
              <w:rPr>
                <w:rFonts w:hint="eastAsia" w:ascii="仿宋" w:hAnsi="仿宋" w:eastAsia="仿宋"/>
                <w:szCs w:val="21"/>
                <w:lang w:val="en-US" w:eastAsia="zh-CN"/>
              </w:rPr>
              <w:t>1.服务方案：</w:t>
            </w:r>
            <w:r>
              <w:rPr>
                <w:rFonts w:hint="default" w:ascii="Calibri" w:hAnsi="Calibri" w:eastAsia="仿宋" w:cs="Calibri"/>
                <w:szCs w:val="21"/>
                <w:lang w:val="en-US" w:eastAsia="zh-CN"/>
              </w:rPr>
              <w:t>①</w:t>
            </w:r>
            <w:r>
              <w:rPr>
                <w:rFonts w:hint="eastAsia" w:ascii="仿宋" w:hAnsi="仿宋" w:eastAsia="仿宋"/>
                <w:szCs w:val="21"/>
                <w:lang w:val="en-US" w:eastAsia="zh-CN"/>
              </w:rPr>
              <w:t>服务方案周到全面，服务起点高，定位明确，针对性强，为病人提供多样化服务，满足病人的各种需求，得10分；</w:t>
            </w:r>
            <w:r>
              <w:rPr>
                <w:rFonts w:hint="default" w:ascii="Calibri" w:hAnsi="Calibri" w:eastAsia="仿宋" w:cs="Calibri"/>
                <w:szCs w:val="21"/>
                <w:lang w:val="en-US" w:eastAsia="zh-CN"/>
              </w:rPr>
              <w:t>②</w:t>
            </w:r>
            <w:r>
              <w:rPr>
                <w:rFonts w:hint="eastAsia" w:ascii="仿宋" w:hAnsi="仿宋" w:eastAsia="仿宋"/>
                <w:szCs w:val="21"/>
                <w:lang w:val="en-US" w:eastAsia="zh-CN"/>
              </w:rPr>
              <w:t>服务方案涵盖了所有的服务要求，定位明确，针对性强的得6分；</w:t>
            </w:r>
            <w:r>
              <w:rPr>
                <w:rFonts w:hint="default" w:ascii="Calibri" w:hAnsi="Calibri" w:eastAsia="仿宋" w:cs="Calibri"/>
                <w:szCs w:val="21"/>
                <w:lang w:val="en-US" w:eastAsia="zh-CN"/>
              </w:rPr>
              <w:t>③</w:t>
            </w:r>
            <w:r>
              <w:rPr>
                <w:rFonts w:hint="eastAsia" w:ascii="仿宋" w:hAnsi="仿宋" w:eastAsia="仿宋"/>
                <w:szCs w:val="21"/>
                <w:lang w:val="en-US" w:eastAsia="zh-CN"/>
              </w:rPr>
              <w:t>服务方案比较全面但没有针对性得3分；</w:t>
            </w:r>
            <w:r>
              <w:rPr>
                <w:rFonts w:hint="eastAsia" w:ascii="仿宋" w:hAnsi="仿宋" w:eastAsia="仿宋"/>
                <w:szCs w:val="21"/>
                <w:lang w:val="en-US" w:eastAsia="zh-CN"/>
              </w:rPr>
              <w:fldChar w:fldCharType="begin"/>
            </w:r>
            <w:r>
              <w:rPr>
                <w:rFonts w:hint="eastAsia" w:ascii="仿宋" w:hAnsi="仿宋" w:eastAsia="仿宋"/>
                <w:szCs w:val="21"/>
                <w:lang w:val="en-US" w:eastAsia="zh-CN"/>
              </w:rPr>
              <w:instrText xml:space="preserve"> = 4 \* GB3 \* MERGEFORMAT </w:instrText>
            </w:r>
            <w:r>
              <w:rPr>
                <w:rFonts w:hint="eastAsia" w:ascii="仿宋" w:hAnsi="仿宋" w:eastAsia="仿宋"/>
                <w:szCs w:val="21"/>
                <w:lang w:val="en-US" w:eastAsia="zh-CN"/>
              </w:rPr>
              <w:fldChar w:fldCharType="separate"/>
            </w:r>
            <w:r>
              <w:t>④</w:t>
            </w:r>
            <w:r>
              <w:rPr>
                <w:rFonts w:hint="eastAsia" w:ascii="仿宋" w:hAnsi="仿宋" w:eastAsia="仿宋"/>
                <w:szCs w:val="21"/>
                <w:lang w:val="en-US" w:eastAsia="zh-CN"/>
              </w:rPr>
              <w:fldChar w:fldCharType="end"/>
            </w:r>
            <w:r>
              <w:rPr>
                <w:rFonts w:hint="eastAsia" w:ascii="仿宋" w:hAnsi="仿宋" w:eastAsia="仿宋"/>
                <w:szCs w:val="21"/>
                <w:lang w:val="en-US" w:eastAsia="zh-CN"/>
              </w:rPr>
              <w:t>服务方案不全面的得1分；未提供服务方案的不得分。</w:t>
            </w:r>
          </w:p>
        </w:tc>
        <w:tc>
          <w:tcPr>
            <w:tcW w:w="556" w:type="dxa"/>
            <w:vAlign w:val="center"/>
          </w:tcPr>
          <w:p w14:paraId="63F68DE9">
            <w:pPr>
              <w:jc w:val="center"/>
              <w:rPr>
                <w:rFonts w:ascii="仿宋" w:hAnsi="仿宋" w:eastAsia="仿宋"/>
                <w:szCs w:val="21"/>
              </w:rPr>
            </w:pPr>
            <w:r>
              <w:rPr>
                <w:rFonts w:ascii="仿宋" w:hAnsi="仿宋" w:eastAsia="仿宋"/>
                <w:szCs w:val="21"/>
              </w:rPr>
              <w:t>/</w:t>
            </w:r>
          </w:p>
        </w:tc>
        <w:tc>
          <w:tcPr>
            <w:tcW w:w="1230" w:type="dxa"/>
            <w:vMerge w:val="restart"/>
            <w:vAlign w:val="center"/>
          </w:tcPr>
          <w:p w14:paraId="4623737D">
            <w:pPr>
              <w:jc w:val="center"/>
              <w:rPr>
                <w:rFonts w:hint="eastAsia" w:ascii="仿宋" w:hAnsi="仿宋" w:eastAsia="仿宋"/>
                <w:szCs w:val="21"/>
              </w:rPr>
            </w:pPr>
            <w:r>
              <w:rPr>
                <w:rFonts w:hint="eastAsia" w:ascii="仿宋" w:hAnsi="仿宋" w:eastAsia="仿宋"/>
                <w:szCs w:val="21"/>
              </w:rPr>
              <w:t>共同评分因素</w:t>
            </w:r>
          </w:p>
        </w:tc>
      </w:tr>
      <w:tr w14:paraId="79A55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675" w:type="dxa"/>
            <w:vMerge w:val="continue"/>
            <w:vAlign w:val="center"/>
          </w:tcPr>
          <w:p w14:paraId="774BC6C5">
            <w:pPr>
              <w:spacing w:line="400" w:lineRule="exact"/>
              <w:ind w:firstLine="28"/>
              <w:jc w:val="center"/>
              <w:rPr>
                <w:rFonts w:hint="eastAsia" w:ascii="仿宋" w:hAnsi="仿宋" w:eastAsia="仿宋"/>
                <w:szCs w:val="21"/>
                <w:lang w:val="en-US" w:eastAsia="zh-CN"/>
              </w:rPr>
            </w:pPr>
          </w:p>
        </w:tc>
        <w:tc>
          <w:tcPr>
            <w:tcW w:w="1275" w:type="dxa"/>
            <w:vMerge w:val="continue"/>
            <w:vAlign w:val="center"/>
          </w:tcPr>
          <w:p w14:paraId="61A42193">
            <w:pPr>
              <w:jc w:val="center"/>
              <w:rPr>
                <w:rFonts w:hint="eastAsia" w:ascii="仿宋" w:hAnsi="仿宋" w:eastAsia="仿宋"/>
                <w:szCs w:val="21"/>
                <w:lang w:val="en-US" w:eastAsia="zh-CN"/>
              </w:rPr>
            </w:pPr>
          </w:p>
        </w:tc>
        <w:tc>
          <w:tcPr>
            <w:tcW w:w="795" w:type="dxa"/>
            <w:vMerge w:val="continue"/>
            <w:vAlign w:val="center"/>
          </w:tcPr>
          <w:p w14:paraId="2DF42A3E">
            <w:pPr>
              <w:jc w:val="center"/>
              <w:rPr>
                <w:rFonts w:hint="eastAsia" w:ascii="仿宋" w:hAnsi="仿宋" w:eastAsia="仿宋"/>
                <w:szCs w:val="21"/>
                <w:lang w:val="en-US" w:eastAsia="zh-CN"/>
              </w:rPr>
            </w:pPr>
          </w:p>
        </w:tc>
        <w:tc>
          <w:tcPr>
            <w:tcW w:w="6135" w:type="dxa"/>
            <w:vAlign w:val="center"/>
          </w:tcPr>
          <w:p w14:paraId="358D3C55">
            <w:pPr>
              <w:rPr>
                <w:rFonts w:hint="default" w:ascii="仿宋" w:hAnsi="仿宋" w:eastAsia="仿宋"/>
                <w:szCs w:val="21"/>
                <w:lang w:val="en-US" w:eastAsia="zh-CN"/>
              </w:rPr>
            </w:pPr>
            <w:r>
              <w:rPr>
                <w:rFonts w:hint="eastAsia" w:ascii="仿宋" w:hAnsi="仿宋" w:eastAsia="仿宋"/>
                <w:szCs w:val="21"/>
                <w:lang w:val="en-US" w:eastAsia="zh-CN"/>
              </w:rPr>
              <w:t>2.信息化方案：</w:t>
            </w:r>
            <w:r>
              <w:rPr>
                <w:rFonts w:hint="default" w:ascii="Calibri" w:hAnsi="Calibri" w:eastAsia="仿宋" w:cs="Calibri"/>
                <w:szCs w:val="21"/>
                <w:lang w:val="en-US" w:eastAsia="zh-CN"/>
              </w:rPr>
              <w:t>①</w:t>
            </w:r>
            <w:r>
              <w:rPr>
                <w:rFonts w:hint="eastAsia" w:ascii="仿宋" w:hAnsi="仿宋" w:eastAsia="仿宋"/>
                <w:szCs w:val="21"/>
                <w:lang w:val="en-US" w:eastAsia="zh-CN"/>
              </w:rPr>
              <w:t>提供针对本院陪护管理信息化的方案，方案切实可行得3分；</w:t>
            </w:r>
            <w:r>
              <w:rPr>
                <w:rFonts w:hint="default" w:ascii="Calibri" w:hAnsi="Calibri" w:eastAsia="仿宋" w:cs="Calibri"/>
                <w:szCs w:val="21"/>
                <w:lang w:val="en-US" w:eastAsia="zh-CN"/>
              </w:rPr>
              <w:t>②</w:t>
            </w:r>
            <w:r>
              <w:rPr>
                <w:rFonts w:hint="eastAsia" w:ascii="仿宋" w:hAnsi="仿宋" w:eastAsia="仿宋"/>
                <w:szCs w:val="21"/>
                <w:lang w:val="en-US" w:eastAsia="zh-CN"/>
              </w:rPr>
              <w:t>方案比较全面但没有针对性得2分；</w:t>
            </w:r>
            <w:r>
              <w:rPr>
                <w:rFonts w:hint="default" w:ascii="Calibri" w:hAnsi="Calibri" w:eastAsia="仿宋" w:cs="Calibri"/>
                <w:szCs w:val="21"/>
                <w:lang w:val="en-US" w:eastAsia="zh-CN"/>
              </w:rPr>
              <w:t>③</w:t>
            </w:r>
            <w:r>
              <w:rPr>
                <w:rFonts w:hint="eastAsia" w:ascii="仿宋" w:hAnsi="仿宋" w:eastAsia="仿宋"/>
                <w:szCs w:val="21"/>
                <w:lang w:val="en-US" w:eastAsia="zh-CN"/>
              </w:rPr>
              <w:t>方案不全面的得1分；未提供服务方案的不得分；</w:t>
            </w:r>
            <w:r>
              <w:rPr>
                <w:rFonts w:hint="eastAsia" w:ascii="仿宋" w:hAnsi="仿宋" w:eastAsia="仿宋"/>
                <w:szCs w:val="21"/>
                <w:lang w:val="en-US" w:eastAsia="zh-CN"/>
              </w:rPr>
              <w:fldChar w:fldCharType="begin"/>
            </w:r>
            <w:r>
              <w:rPr>
                <w:rFonts w:hint="eastAsia" w:ascii="仿宋" w:hAnsi="仿宋" w:eastAsia="仿宋"/>
                <w:szCs w:val="21"/>
                <w:lang w:val="en-US" w:eastAsia="zh-CN"/>
              </w:rPr>
              <w:instrText xml:space="preserve"> = 4 \* GB3 \* MERGEFORMAT </w:instrText>
            </w:r>
            <w:r>
              <w:rPr>
                <w:rFonts w:hint="eastAsia" w:ascii="仿宋" w:hAnsi="仿宋" w:eastAsia="仿宋"/>
                <w:szCs w:val="21"/>
                <w:lang w:val="en-US" w:eastAsia="zh-CN"/>
              </w:rPr>
              <w:fldChar w:fldCharType="separate"/>
            </w:r>
            <w:r>
              <w:t>④</w:t>
            </w:r>
            <w:r>
              <w:rPr>
                <w:rFonts w:hint="eastAsia" w:ascii="仿宋" w:hAnsi="仿宋" w:eastAsia="仿宋"/>
                <w:szCs w:val="21"/>
                <w:lang w:val="en-US" w:eastAsia="zh-CN"/>
              </w:rPr>
              <w:fldChar w:fldCharType="end"/>
            </w:r>
            <w:r>
              <w:rPr>
                <w:rFonts w:hint="eastAsia" w:ascii="仿宋" w:hAnsi="仿宋" w:eastAsia="仿宋"/>
                <w:szCs w:val="21"/>
                <w:lang w:val="en-US" w:eastAsia="zh-CN"/>
              </w:rPr>
              <w:t>具有陪护管理信息化系统的得3分，未提供的不得分。（自主研发软件的需提供软件著作权证书复印件；使用第三方软件的投标人需提供授权使用证明和研发单位软件著作权证书复印件）</w:t>
            </w:r>
          </w:p>
        </w:tc>
        <w:tc>
          <w:tcPr>
            <w:tcW w:w="556" w:type="dxa"/>
            <w:vAlign w:val="center"/>
          </w:tcPr>
          <w:p w14:paraId="41FF0D99">
            <w:pPr>
              <w:jc w:val="center"/>
              <w:rPr>
                <w:rFonts w:ascii="仿宋" w:hAnsi="仿宋" w:eastAsia="仿宋"/>
                <w:szCs w:val="21"/>
              </w:rPr>
            </w:pPr>
            <w:r>
              <w:rPr>
                <w:rFonts w:ascii="仿宋" w:hAnsi="仿宋" w:eastAsia="仿宋"/>
                <w:szCs w:val="21"/>
              </w:rPr>
              <w:t>/</w:t>
            </w:r>
          </w:p>
        </w:tc>
        <w:tc>
          <w:tcPr>
            <w:tcW w:w="1230" w:type="dxa"/>
            <w:vMerge w:val="continue"/>
            <w:vAlign w:val="center"/>
          </w:tcPr>
          <w:p w14:paraId="12AF76B0">
            <w:pPr>
              <w:jc w:val="center"/>
              <w:rPr>
                <w:rFonts w:hint="eastAsia" w:ascii="仿宋" w:hAnsi="仿宋" w:eastAsia="仿宋"/>
                <w:szCs w:val="21"/>
              </w:rPr>
            </w:pPr>
          </w:p>
        </w:tc>
      </w:tr>
      <w:tr w14:paraId="2B178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675" w:type="dxa"/>
            <w:vMerge w:val="continue"/>
            <w:vAlign w:val="center"/>
          </w:tcPr>
          <w:p w14:paraId="7DD4C1C4">
            <w:pPr>
              <w:spacing w:line="400" w:lineRule="exact"/>
              <w:ind w:firstLine="28"/>
              <w:jc w:val="center"/>
              <w:rPr>
                <w:rFonts w:hint="eastAsia" w:ascii="仿宋" w:hAnsi="仿宋" w:eastAsia="仿宋"/>
                <w:szCs w:val="21"/>
                <w:lang w:val="en-US" w:eastAsia="zh-CN"/>
              </w:rPr>
            </w:pPr>
          </w:p>
        </w:tc>
        <w:tc>
          <w:tcPr>
            <w:tcW w:w="1275" w:type="dxa"/>
            <w:vMerge w:val="continue"/>
            <w:vAlign w:val="center"/>
          </w:tcPr>
          <w:p w14:paraId="4BCD272B">
            <w:pPr>
              <w:jc w:val="center"/>
              <w:rPr>
                <w:rFonts w:hint="eastAsia" w:ascii="仿宋" w:hAnsi="仿宋" w:eastAsia="仿宋"/>
                <w:szCs w:val="21"/>
                <w:lang w:val="en-US" w:eastAsia="zh-CN"/>
              </w:rPr>
            </w:pPr>
          </w:p>
        </w:tc>
        <w:tc>
          <w:tcPr>
            <w:tcW w:w="795" w:type="dxa"/>
            <w:vMerge w:val="continue"/>
            <w:vAlign w:val="center"/>
          </w:tcPr>
          <w:p w14:paraId="46466F54">
            <w:pPr>
              <w:jc w:val="center"/>
              <w:rPr>
                <w:rFonts w:hint="eastAsia" w:ascii="仿宋" w:hAnsi="仿宋" w:eastAsia="仿宋"/>
                <w:szCs w:val="21"/>
                <w:lang w:val="en-US" w:eastAsia="zh-CN"/>
              </w:rPr>
            </w:pPr>
          </w:p>
        </w:tc>
        <w:tc>
          <w:tcPr>
            <w:tcW w:w="6135" w:type="dxa"/>
            <w:vAlign w:val="center"/>
          </w:tcPr>
          <w:p w14:paraId="20792A55">
            <w:pPr>
              <w:rPr>
                <w:rFonts w:hint="default" w:ascii="仿宋" w:hAnsi="仿宋" w:eastAsia="仿宋"/>
                <w:szCs w:val="21"/>
                <w:lang w:val="en-US" w:eastAsia="zh-CN"/>
              </w:rPr>
            </w:pPr>
            <w:r>
              <w:rPr>
                <w:rFonts w:hint="eastAsia" w:ascii="仿宋" w:hAnsi="仿宋" w:eastAsia="仿宋"/>
                <w:szCs w:val="21"/>
                <w:lang w:val="en-US" w:eastAsia="zh-CN"/>
              </w:rPr>
              <w:t>3.应急预案：</w:t>
            </w:r>
            <w:r>
              <w:rPr>
                <w:rFonts w:hint="default" w:ascii="Calibri" w:hAnsi="Calibri" w:eastAsia="仿宋" w:cs="Calibri"/>
                <w:szCs w:val="21"/>
                <w:lang w:val="en-US" w:eastAsia="zh-CN"/>
              </w:rPr>
              <w:t>①</w:t>
            </w:r>
            <w:r>
              <w:rPr>
                <w:rFonts w:hint="eastAsia" w:ascii="仿宋" w:hAnsi="仿宋" w:eastAsia="仿宋"/>
                <w:szCs w:val="21"/>
                <w:lang w:val="en-US" w:eastAsia="zh-CN"/>
              </w:rPr>
              <w:t>突发事件应急处理预案完备健全，对本项目针对性强，具有实际可操作性的得6分；</w:t>
            </w:r>
            <w:r>
              <w:rPr>
                <w:rFonts w:hint="default" w:ascii="Calibri" w:hAnsi="Calibri" w:eastAsia="仿宋" w:cs="Calibri"/>
                <w:szCs w:val="21"/>
                <w:lang w:val="en-US" w:eastAsia="zh-CN"/>
              </w:rPr>
              <w:t>②</w:t>
            </w:r>
            <w:r>
              <w:rPr>
                <w:rFonts w:hint="eastAsia" w:ascii="仿宋" w:hAnsi="仿宋" w:eastAsia="仿宋"/>
                <w:szCs w:val="21"/>
                <w:lang w:val="en-US" w:eastAsia="zh-CN"/>
              </w:rPr>
              <w:t>突发事件应急处理预案比较完备、健全的得3分；</w:t>
            </w:r>
            <w:r>
              <w:rPr>
                <w:rFonts w:hint="default" w:ascii="Calibri" w:hAnsi="Calibri" w:eastAsia="仿宋" w:cs="Calibri"/>
                <w:szCs w:val="21"/>
                <w:lang w:val="en-US" w:eastAsia="zh-CN"/>
              </w:rPr>
              <w:t>③</w:t>
            </w:r>
            <w:r>
              <w:rPr>
                <w:rFonts w:hint="eastAsia" w:ascii="仿宋" w:hAnsi="仿宋" w:eastAsia="仿宋"/>
                <w:szCs w:val="21"/>
                <w:lang w:val="en-US" w:eastAsia="zh-CN"/>
              </w:rPr>
              <w:t>突发事件应急处理预案方案不全面的得1分；</w:t>
            </w:r>
            <w:r>
              <w:rPr>
                <w:rFonts w:hint="eastAsia" w:ascii="仿宋" w:hAnsi="仿宋" w:eastAsia="仿宋"/>
                <w:szCs w:val="21"/>
                <w:lang w:val="en-US" w:eastAsia="zh-CN"/>
              </w:rPr>
              <w:fldChar w:fldCharType="begin"/>
            </w:r>
            <w:r>
              <w:rPr>
                <w:rFonts w:hint="eastAsia" w:ascii="仿宋" w:hAnsi="仿宋" w:eastAsia="仿宋"/>
                <w:szCs w:val="21"/>
                <w:lang w:val="en-US" w:eastAsia="zh-CN"/>
              </w:rPr>
              <w:instrText xml:space="preserve"> = 4 \* GB3 \* MERGEFORMAT </w:instrText>
            </w:r>
            <w:r>
              <w:rPr>
                <w:rFonts w:hint="eastAsia" w:ascii="仿宋" w:hAnsi="仿宋" w:eastAsia="仿宋"/>
                <w:szCs w:val="21"/>
                <w:lang w:val="en-US" w:eastAsia="zh-CN"/>
              </w:rPr>
              <w:fldChar w:fldCharType="separate"/>
            </w:r>
            <w:r>
              <w:t>④</w:t>
            </w:r>
            <w:r>
              <w:rPr>
                <w:rFonts w:hint="eastAsia" w:ascii="仿宋" w:hAnsi="仿宋" w:eastAsia="仿宋"/>
                <w:szCs w:val="21"/>
                <w:lang w:val="en-US" w:eastAsia="zh-CN"/>
              </w:rPr>
              <w:fldChar w:fldCharType="end"/>
            </w:r>
            <w:r>
              <w:rPr>
                <w:rFonts w:hint="eastAsia" w:ascii="仿宋" w:hAnsi="仿宋" w:eastAsia="仿宋"/>
                <w:szCs w:val="21"/>
                <w:lang w:val="en-US" w:eastAsia="zh-CN"/>
              </w:rPr>
              <w:t>没有突发事件应急处理预案，或不具有实际可操作性的不得分。</w:t>
            </w:r>
          </w:p>
        </w:tc>
        <w:tc>
          <w:tcPr>
            <w:tcW w:w="556" w:type="dxa"/>
            <w:vAlign w:val="center"/>
          </w:tcPr>
          <w:p w14:paraId="01025BAE">
            <w:pPr>
              <w:jc w:val="center"/>
              <w:rPr>
                <w:rFonts w:ascii="仿宋" w:hAnsi="仿宋" w:eastAsia="仿宋"/>
                <w:szCs w:val="21"/>
              </w:rPr>
            </w:pPr>
            <w:r>
              <w:rPr>
                <w:rFonts w:ascii="仿宋" w:hAnsi="仿宋" w:eastAsia="仿宋"/>
                <w:szCs w:val="21"/>
              </w:rPr>
              <w:t>/</w:t>
            </w:r>
          </w:p>
        </w:tc>
        <w:tc>
          <w:tcPr>
            <w:tcW w:w="1230" w:type="dxa"/>
            <w:vMerge w:val="continue"/>
            <w:vAlign w:val="center"/>
          </w:tcPr>
          <w:p w14:paraId="55310174">
            <w:pPr>
              <w:jc w:val="center"/>
              <w:rPr>
                <w:rFonts w:hint="eastAsia" w:ascii="仿宋" w:hAnsi="仿宋" w:eastAsia="仿宋"/>
                <w:szCs w:val="21"/>
              </w:rPr>
            </w:pPr>
          </w:p>
        </w:tc>
      </w:tr>
      <w:tr w14:paraId="54A39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675" w:type="dxa"/>
            <w:vMerge w:val="continue"/>
            <w:vAlign w:val="center"/>
          </w:tcPr>
          <w:p w14:paraId="2B7CE32B">
            <w:pPr>
              <w:spacing w:line="400" w:lineRule="exact"/>
              <w:ind w:firstLine="28"/>
              <w:jc w:val="center"/>
              <w:rPr>
                <w:rFonts w:hint="eastAsia" w:ascii="仿宋" w:hAnsi="仿宋" w:eastAsia="仿宋"/>
                <w:szCs w:val="21"/>
                <w:lang w:val="en-US" w:eastAsia="zh-CN"/>
              </w:rPr>
            </w:pPr>
          </w:p>
        </w:tc>
        <w:tc>
          <w:tcPr>
            <w:tcW w:w="1275" w:type="dxa"/>
            <w:vMerge w:val="continue"/>
            <w:vAlign w:val="center"/>
          </w:tcPr>
          <w:p w14:paraId="26444993">
            <w:pPr>
              <w:jc w:val="center"/>
              <w:rPr>
                <w:rFonts w:hint="eastAsia" w:ascii="仿宋" w:hAnsi="仿宋" w:eastAsia="仿宋"/>
                <w:szCs w:val="21"/>
                <w:lang w:val="en-US" w:eastAsia="zh-CN"/>
              </w:rPr>
            </w:pPr>
          </w:p>
        </w:tc>
        <w:tc>
          <w:tcPr>
            <w:tcW w:w="795" w:type="dxa"/>
            <w:vMerge w:val="continue"/>
            <w:vAlign w:val="center"/>
          </w:tcPr>
          <w:p w14:paraId="551DEABD">
            <w:pPr>
              <w:jc w:val="center"/>
              <w:rPr>
                <w:rFonts w:hint="eastAsia" w:ascii="仿宋" w:hAnsi="仿宋" w:eastAsia="仿宋"/>
                <w:szCs w:val="21"/>
                <w:lang w:val="en-US" w:eastAsia="zh-CN"/>
              </w:rPr>
            </w:pPr>
          </w:p>
        </w:tc>
        <w:tc>
          <w:tcPr>
            <w:tcW w:w="6135" w:type="dxa"/>
            <w:vAlign w:val="center"/>
          </w:tcPr>
          <w:p w14:paraId="1D93C880">
            <w:pPr>
              <w:rPr>
                <w:rFonts w:hint="default" w:ascii="仿宋" w:hAnsi="仿宋" w:eastAsia="仿宋"/>
                <w:szCs w:val="21"/>
                <w:lang w:val="en-US" w:eastAsia="zh-CN"/>
              </w:rPr>
            </w:pPr>
            <w:r>
              <w:rPr>
                <w:rFonts w:hint="eastAsia" w:ascii="仿宋" w:hAnsi="仿宋" w:eastAsia="仿宋"/>
                <w:szCs w:val="21"/>
                <w:lang w:val="en-US" w:eastAsia="zh-CN"/>
              </w:rPr>
              <w:t>4.培训方案：</w:t>
            </w:r>
            <w:r>
              <w:rPr>
                <w:rFonts w:hint="default" w:ascii="Calibri" w:hAnsi="Calibri" w:eastAsia="仿宋" w:cs="Calibri"/>
                <w:szCs w:val="21"/>
                <w:lang w:val="en-US" w:eastAsia="zh-CN"/>
              </w:rPr>
              <w:t>①</w:t>
            </w:r>
            <w:r>
              <w:rPr>
                <w:rFonts w:hint="eastAsia" w:ascii="仿宋" w:hAnsi="仿宋" w:eastAsia="仿宋"/>
                <w:szCs w:val="21"/>
                <w:lang w:val="en-US" w:eastAsia="zh-CN"/>
              </w:rPr>
              <w:t>包括岗前培训和在岗培训，培训及支持方案完善且有针对性的得6分；</w:t>
            </w:r>
            <w:r>
              <w:rPr>
                <w:rFonts w:hint="default" w:ascii="Calibri" w:hAnsi="Calibri" w:eastAsia="仿宋" w:cs="Calibri"/>
                <w:szCs w:val="21"/>
                <w:lang w:val="en-US" w:eastAsia="zh-CN"/>
              </w:rPr>
              <w:t>②</w:t>
            </w:r>
            <w:r>
              <w:rPr>
                <w:rFonts w:hint="eastAsia" w:ascii="仿宋" w:hAnsi="仿宋" w:eastAsia="仿宋"/>
                <w:szCs w:val="21"/>
                <w:lang w:val="en-US" w:eastAsia="zh-CN"/>
              </w:rPr>
              <w:t>培训支持方案较为完善具体，具有一定针对性的得3分；</w:t>
            </w:r>
            <w:r>
              <w:rPr>
                <w:rFonts w:hint="default" w:ascii="Calibri" w:hAnsi="Calibri" w:eastAsia="仿宋" w:cs="Calibri"/>
                <w:szCs w:val="21"/>
                <w:lang w:val="en-US" w:eastAsia="zh-CN"/>
              </w:rPr>
              <w:t>③</w:t>
            </w:r>
            <w:r>
              <w:rPr>
                <w:rFonts w:hint="eastAsia" w:ascii="仿宋" w:hAnsi="仿宋" w:eastAsia="仿宋"/>
                <w:szCs w:val="21"/>
                <w:lang w:val="en-US" w:eastAsia="zh-CN"/>
              </w:rPr>
              <w:t>培训支持方案不够明确具体，针对性不强的得1分；不提供的不得分。</w:t>
            </w:r>
          </w:p>
        </w:tc>
        <w:tc>
          <w:tcPr>
            <w:tcW w:w="556" w:type="dxa"/>
            <w:vAlign w:val="center"/>
          </w:tcPr>
          <w:p w14:paraId="4FAAB989">
            <w:pPr>
              <w:jc w:val="center"/>
              <w:rPr>
                <w:rFonts w:ascii="仿宋" w:hAnsi="仿宋" w:eastAsia="仿宋"/>
                <w:szCs w:val="21"/>
              </w:rPr>
            </w:pPr>
            <w:r>
              <w:rPr>
                <w:rFonts w:ascii="仿宋" w:hAnsi="仿宋" w:eastAsia="仿宋"/>
                <w:szCs w:val="21"/>
              </w:rPr>
              <w:t>/</w:t>
            </w:r>
          </w:p>
        </w:tc>
        <w:tc>
          <w:tcPr>
            <w:tcW w:w="1230" w:type="dxa"/>
            <w:vMerge w:val="continue"/>
            <w:vAlign w:val="center"/>
          </w:tcPr>
          <w:p w14:paraId="6A2F71DC">
            <w:pPr>
              <w:jc w:val="center"/>
              <w:rPr>
                <w:rFonts w:hint="eastAsia" w:ascii="仿宋" w:hAnsi="仿宋" w:eastAsia="仿宋"/>
                <w:szCs w:val="21"/>
              </w:rPr>
            </w:pPr>
          </w:p>
        </w:tc>
      </w:tr>
      <w:tr w14:paraId="4094B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675" w:type="dxa"/>
            <w:vAlign w:val="center"/>
          </w:tcPr>
          <w:p w14:paraId="360677C0">
            <w:pPr>
              <w:spacing w:line="400" w:lineRule="exact"/>
              <w:ind w:firstLine="28"/>
              <w:jc w:val="center"/>
              <w:rPr>
                <w:rFonts w:hint="default" w:ascii="仿宋" w:hAnsi="仿宋" w:eastAsia="仿宋"/>
                <w:szCs w:val="21"/>
                <w:lang w:val="en-US" w:eastAsia="zh-CN"/>
              </w:rPr>
            </w:pPr>
            <w:r>
              <w:rPr>
                <w:rFonts w:hint="eastAsia" w:ascii="仿宋" w:hAnsi="仿宋" w:eastAsia="仿宋"/>
                <w:szCs w:val="21"/>
                <w:lang w:val="en-US" w:eastAsia="zh-CN"/>
              </w:rPr>
              <w:t>5</w:t>
            </w:r>
          </w:p>
        </w:tc>
        <w:tc>
          <w:tcPr>
            <w:tcW w:w="1275" w:type="dxa"/>
            <w:vAlign w:val="center"/>
          </w:tcPr>
          <w:p w14:paraId="210A9DC0">
            <w:pPr>
              <w:jc w:val="center"/>
              <w:rPr>
                <w:rFonts w:hint="eastAsia" w:ascii="仿宋" w:hAnsi="仿宋" w:eastAsia="仿宋"/>
                <w:szCs w:val="21"/>
                <w:lang w:val="en-US" w:eastAsia="zh-CN"/>
              </w:rPr>
            </w:pPr>
            <w:r>
              <w:rPr>
                <w:rFonts w:hint="eastAsia" w:ascii="仿宋" w:hAnsi="仿宋" w:eastAsia="仿宋"/>
                <w:szCs w:val="21"/>
                <w:lang w:val="en-US" w:eastAsia="zh-CN"/>
              </w:rPr>
              <w:t>人员配置方案（9%）</w:t>
            </w:r>
          </w:p>
        </w:tc>
        <w:tc>
          <w:tcPr>
            <w:tcW w:w="795" w:type="dxa"/>
            <w:vAlign w:val="center"/>
          </w:tcPr>
          <w:p w14:paraId="2F5BC482">
            <w:pPr>
              <w:jc w:val="center"/>
              <w:rPr>
                <w:rFonts w:hint="default" w:ascii="仿宋" w:hAnsi="仿宋" w:eastAsia="仿宋"/>
                <w:szCs w:val="21"/>
                <w:lang w:val="en-US" w:eastAsia="zh-CN"/>
              </w:rPr>
            </w:pPr>
            <w:r>
              <w:rPr>
                <w:rFonts w:hint="eastAsia" w:ascii="仿宋" w:hAnsi="仿宋" w:eastAsia="仿宋"/>
                <w:szCs w:val="21"/>
                <w:lang w:val="en-US" w:eastAsia="zh-CN"/>
              </w:rPr>
              <w:t>9分</w:t>
            </w:r>
          </w:p>
        </w:tc>
        <w:tc>
          <w:tcPr>
            <w:tcW w:w="6135" w:type="dxa"/>
            <w:vAlign w:val="center"/>
          </w:tcPr>
          <w:p w14:paraId="01C51212">
            <w:pPr>
              <w:numPr>
                <w:ilvl w:val="0"/>
                <w:numId w:val="2"/>
              </w:numPr>
              <w:rPr>
                <w:rFonts w:hint="eastAsia" w:ascii="仿宋" w:hAnsi="仿宋" w:eastAsia="仿宋"/>
                <w:szCs w:val="21"/>
                <w:lang w:val="en-US" w:eastAsia="zh-CN"/>
              </w:rPr>
            </w:pPr>
            <w:r>
              <w:rPr>
                <w:rFonts w:hint="eastAsia" w:ascii="仿宋" w:hAnsi="仿宋" w:eastAsia="仿宋"/>
                <w:szCs w:val="21"/>
                <w:lang w:val="en-US" w:eastAsia="zh-CN"/>
              </w:rPr>
              <w:t>项目负责人：具有医疗护理背景、初级及以上职称得3分；每具有一个类似项目管理经验得2分。本项最多得7分。（须提供相关证书复印件及聘用合同复印件）</w:t>
            </w:r>
          </w:p>
          <w:p w14:paraId="65A7066E">
            <w:pPr>
              <w:numPr>
                <w:ilvl w:val="0"/>
                <w:numId w:val="2"/>
              </w:numPr>
              <w:rPr>
                <w:rFonts w:hint="default" w:ascii="仿宋" w:hAnsi="仿宋" w:eastAsia="仿宋"/>
                <w:szCs w:val="21"/>
                <w:lang w:val="en-US" w:eastAsia="zh-CN"/>
              </w:rPr>
            </w:pPr>
            <w:r>
              <w:rPr>
                <w:rFonts w:hint="eastAsia" w:ascii="仿宋" w:hAnsi="仿宋" w:eastAsia="仿宋"/>
                <w:szCs w:val="21"/>
                <w:highlight w:val="none"/>
                <w:lang w:val="en-US" w:eastAsia="zh-CN"/>
              </w:rPr>
              <w:t>投标人</w:t>
            </w:r>
            <w:r>
              <w:rPr>
                <w:rFonts w:hint="default" w:ascii="仿宋" w:hAnsi="仿宋" w:eastAsia="仿宋"/>
                <w:szCs w:val="21"/>
                <w:highlight w:val="none"/>
                <w:lang w:val="en-US" w:eastAsia="zh-CN"/>
              </w:rPr>
              <w:t>对护理员团队稳定性进行承诺，承诺中标后不更换管理人员的的得</w:t>
            </w:r>
            <w:r>
              <w:rPr>
                <w:rFonts w:hint="eastAsia" w:ascii="仿宋" w:hAnsi="仿宋" w:eastAsia="仿宋"/>
                <w:szCs w:val="21"/>
                <w:highlight w:val="none"/>
                <w:lang w:val="en-US" w:eastAsia="zh-CN"/>
              </w:rPr>
              <w:t>2</w:t>
            </w:r>
            <w:r>
              <w:rPr>
                <w:rFonts w:hint="default" w:ascii="仿宋" w:hAnsi="仿宋" w:eastAsia="仿宋"/>
                <w:szCs w:val="21"/>
                <w:highlight w:val="none"/>
                <w:lang w:val="en-US" w:eastAsia="zh-CN"/>
              </w:rPr>
              <w:t>分，否则本项不得分。自行提供承诺函。</w:t>
            </w:r>
          </w:p>
        </w:tc>
        <w:tc>
          <w:tcPr>
            <w:tcW w:w="556" w:type="dxa"/>
            <w:vAlign w:val="center"/>
          </w:tcPr>
          <w:p w14:paraId="32964804">
            <w:pPr>
              <w:jc w:val="center"/>
              <w:rPr>
                <w:rFonts w:ascii="仿宋" w:hAnsi="仿宋" w:eastAsia="仿宋"/>
                <w:szCs w:val="21"/>
              </w:rPr>
            </w:pPr>
            <w:r>
              <w:rPr>
                <w:rFonts w:ascii="仿宋" w:hAnsi="仿宋" w:eastAsia="仿宋"/>
                <w:szCs w:val="21"/>
              </w:rPr>
              <w:t>/</w:t>
            </w:r>
          </w:p>
        </w:tc>
        <w:tc>
          <w:tcPr>
            <w:tcW w:w="1230" w:type="dxa"/>
            <w:vAlign w:val="center"/>
          </w:tcPr>
          <w:p w14:paraId="198B65BE">
            <w:pPr>
              <w:jc w:val="center"/>
              <w:rPr>
                <w:rFonts w:hint="eastAsia" w:ascii="仿宋" w:hAnsi="仿宋" w:eastAsia="仿宋"/>
                <w:szCs w:val="21"/>
              </w:rPr>
            </w:pPr>
            <w:r>
              <w:rPr>
                <w:rFonts w:hint="eastAsia" w:ascii="仿宋" w:hAnsi="仿宋" w:eastAsia="仿宋"/>
                <w:szCs w:val="21"/>
              </w:rPr>
              <w:t>共同评分因素</w:t>
            </w:r>
          </w:p>
        </w:tc>
      </w:tr>
    </w:tbl>
    <w:p w14:paraId="7CFD47D0"/>
    <w:sectPr>
      <w:pgSz w:w="11906" w:h="16838"/>
      <w:pgMar w:top="1440" w:right="567" w:bottom="1440"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公文小标宋">
    <w:panose1 w:val="02000500000000000000"/>
    <w:charset w:val="86"/>
    <w:family w:val="auto"/>
    <w:pitch w:val="default"/>
    <w:sig w:usb0="A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D239AA"/>
    <w:multiLevelType w:val="singleLevel"/>
    <w:tmpl w:val="C3D239AA"/>
    <w:lvl w:ilvl="0" w:tentative="0">
      <w:start w:val="2"/>
      <w:numFmt w:val="decimal"/>
      <w:lvlText w:val="%1."/>
      <w:lvlJc w:val="left"/>
      <w:pPr>
        <w:tabs>
          <w:tab w:val="left" w:pos="312"/>
        </w:tabs>
      </w:pPr>
    </w:lvl>
  </w:abstractNum>
  <w:abstractNum w:abstractNumId="1">
    <w:nsid w:val="193F1461"/>
    <w:multiLevelType w:val="singleLevel"/>
    <w:tmpl w:val="193F1461"/>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C411EF"/>
    <w:rsid w:val="68C41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2024-11-27T08:06:00Z</dcterms:created>
  <dc:creator>邱玥</dc:creator>
  <cp:lastModifiedBy>邱玥</cp:lastModifiedBy>
  <dcterms:modified xsi:type="dcterms:W3CDTF">2024-11-27T08:07:57Z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C715ED1FEE814E28B0075ABF3DF64256_11</vt:lpwstr>
  </property>
</Properties>
</file>