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DB42A">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0"/>
        <w:rPr>
          <w:rFonts w:hint="eastAsia" w:ascii="黑体" w:hAnsi="黑体" w:eastAsia="黑体" w:cs="黑体"/>
          <w:b/>
          <w:bCs/>
          <w:kern w:val="0"/>
          <w:sz w:val="32"/>
          <w:szCs w:val="32"/>
          <w:highlight w:val="none"/>
          <w:lang w:val="en-US" w:eastAsia="zh-CN" w:bidi="ar-SA"/>
        </w:rPr>
      </w:pPr>
      <w:bookmarkStart w:id="0" w:name="_GoBack"/>
      <w:r>
        <w:rPr>
          <w:rFonts w:hint="eastAsia" w:ascii="黑体" w:hAnsi="黑体" w:eastAsia="黑体" w:cs="黑体"/>
          <w:b/>
          <w:bCs/>
          <w:kern w:val="0"/>
          <w:sz w:val="32"/>
          <w:szCs w:val="32"/>
          <w:highlight w:val="none"/>
          <w:lang w:val="en-US" w:eastAsia="zh-CN" w:bidi="ar-SA"/>
        </w:rPr>
        <w:t>附件一、项目需求</w:t>
      </w:r>
    </w:p>
    <w:bookmarkEnd w:id="0"/>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61EA195A">
      <w:pPr>
        <w:keepNext w:val="0"/>
        <w:keepLines w:val="0"/>
        <w:pageBreakBefore w:val="0"/>
        <w:widowControl w:val="0"/>
        <w:numPr>
          <w:ilvl w:val="0"/>
          <w:numId w:val="1"/>
        </w:numPr>
        <w:kinsoku/>
        <w:wordWrap/>
        <w:overflowPunct/>
        <w:topLinePunct w:val="0"/>
        <w:autoSpaceDE/>
        <w:autoSpaceDN/>
        <w:bidi w:val="0"/>
        <w:adjustRightInd/>
        <w:snapToGrid/>
        <w:spacing w:before="0" w:line="500" w:lineRule="exact"/>
        <w:ind w:left="147" w:leftChars="0"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项目概述 </w:t>
      </w:r>
    </w:p>
    <w:p w14:paraId="5E83391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为住院患者提供及时、方便、优质、全程的照护服务，包含产妇的临床生活护理服务、初生婴儿生活护理服务，提高患者就医体验。</w:t>
      </w:r>
    </w:p>
    <w:p w14:paraId="42F71754">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ind w:left="147" w:lef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服务要求 </w:t>
      </w:r>
    </w:p>
    <w:p w14:paraId="42F38E13">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 w:lef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1.供应商须对所聘员工进行业务培训，培训达标后方可上岗，所有培训费用均由供应商承担；</w:t>
      </w:r>
    </w:p>
    <w:p w14:paraId="4B5220ED">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 w:lef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2.供应商所派用人员应遵守我院各项规章制度，服从我院管理和考核。</w:t>
      </w:r>
    </w:p>
    <w:p w14:paraId="7BE20B9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3.供应商为本项目配备至少2名具备护理职称的管理人员进行现场管理，全日制在岗，24小时负责。原则上不得更换，如确需更换，须经我院审核同意，更换人员的资质不得低于投标文件响应的人员资质。</w:t>
      </w:r>
    </w:p>
    <w:p w14:paraId="162CD9B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 w:lef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4.供应商的护理员工作流程、应急预案等相关制度流程齐全，并能在工作中落实，自觉接受我院及有关政府部门的监督、指导、合理化建议，并采取有效措施予以纠正和改进。</w:t>
      </w:r>
    </w:p>
    <w:p w14:paraId="7C0A1D2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 w:lef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供应商派驻的管理人员进行现场管理，能够对护理员工作、及满意度进行督查，并定期对护理员开展职业素养、从业技能、质量安全、消毒隔离、院感防控等方面的培训，并对执行落实情况进行监督指导，确保其掌握相关知识和技能并在工作中正确运用。所有资料医院管理部门可以随时调阅。</w:t>
      </w:r>
    </w:p>
    <w:p w14:paraId="4285C7E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 w:lef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6.严格落实廉政防控措施，不吃、拿产妇食物、钱财，不收取任何小费和红包；杜绝在病区推销及贩卖分娩相关产品、用物、推销附加收费服务。</w:t>
      </w:r>
    </w:p>
    <w:p w14:paraId="14662B50">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7.规范着装、衣帽整洁、不穿响底鞋、首饰不外露、仪表端庄；微笑服务、礼貌待人，不与他（她）人发生争吵、打架；呼叫有应答，避免病人、家属、护士呼叫时无人应答事件发生。</w:t>
      </w:r>
    </w:p>
    <w:p w14:paraId="0DA76EF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8.护理员须统一着装、挂牌上岗，所需费用均由供应商承担。护理员着装需与医护人员显著区分，以免使患者或家属混淆。</w:t>
      </w:r>
    </w:p>
    <w:p w14:paraId="60A6B9D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 w:lef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9.护理员造成的医疗安全事件或发生院内交叉感染者，由供应商承担。</w:t>
      </w:r>
    </w:p>
    <w:p w14:paraId="14D283B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10.服从科室工作制度，协助科室临床护理工作：（1）协助产妇母乳喂养，按需哺乳，纯母乳喂养率不低于90%；（2）协助产妇首次下床解小便，减少产后尿潴留发生；（3）协助产妇产后/术后首次起床活动，避免跌倒事件发生；（4）协助产妇冲洗和新生儿皮肤清洁工作；（5）协助家属完成产妇的生活照护；（6）协助产妇排空乳房，避免乳汁淤积；（7）做好产妇晨、晚间生活护理，整理床单元整理，保持病房整洁；（8）协助护士准备麻醉床；</w:t>
      </w:r>
    </w:p>
    <w:p w14:paraId="7338734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（9）协助护士进行标本送检、取药、普通病人的陪检；（10）协助护士进行新生儿沐浴、游泳等。</w:t>
      </w:r>
    </w:p>
    <w:p w14:paraId="04BF1F1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 w:leftChars="0" w:firstLine="360" w:firstLineChars="15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11.配合医护人员实施突发事件的应急处置。  </w:t>
      </w:r>
    </w:p>
    <w:p w14:paraId="63D342A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 w:lef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★三、商务要求</w:t>
      </w:r>
    </w:p>
    <w:p w14:paraId="35A1B981">
      <w:pPr>
        <w:keepNext w:val="0"/>
        <w:keepLines w:val="0"/>
        <w:pageBreakBefore w:val="0"/>
        <w:widowControl/>
        <w:numPr>
          <w:ilvl w:val="255"/>
          <w:numId w:val="0"/>
        </w:numPr>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1.服务地点：成都市龙泉驿区妇幼保健院</w:t>
      </w:r>
    </w:p>
    <w:p w14:paraId="7F87B801">
      <w:pPr>
        <w:spacing w:line="500" w:lineRule="exact"/>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w:t>
      </w:r>
      <w:r>
        <w:rPr>
          <w:rFonts w:hint="eastAsia" w:ascii="宋体" w:hAnsi="宋体" w:eastAsia="宋体" w:cs="宋体"/>
          <w:sz w:val="24"/>
        </w:rPr>
        <w:t>服务期限：三年，合同一年一签，续签标准以政策允许和医院考评为准。</w:t>
      </w:r>
    </w:p>
    <w:p w14:paraId="614213BF">
      <w:pPr>
        <w:spacing w:line="500" w:lineRule="exact"/>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3.护理员与医院之间不存在任何劳动用工关系和雇佣关系，并受管理公司统一管理，且供应商与护理员与患者之间的纠纷及争议与医院无关。供应商应依法与所聘用的员工签订劳动合同，遵照国家规定，发放护理员工资及福利待遇，并办理各项社会保险。工资及社会保险标准执行不低于相关最低标准。与所聘用的人员发生任何形式的劳资纠纷，均由供应商自行解决，承担一切经济、法律责任，与采购人无关。</w:t>
      </w:r>
    </w:p>
    <w:p w14:paraId="6D9AF8C8">
      <w:pPr>
        <w:spacing w:line="500" w:lineRule="exact"/>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4.供应商禁止使用医院名义虚假宣传。供应商管理人员在使用印章、标识标牌、各类宣传资料等方面不得使用医院名义，不得向患者及其家属称其与医院存在直属、代理关系，以免误导患者及其家属。供应商聘用人员的安全责任自负，在提供服务过程中必须确保服务对象的安全，如因供应商聘用人员未按工作流程、制度操作等而造成采购人或第三方人身、财产直接损失的，由供应商承担全部责任。</w:t>
      </w:r>
    </w:p>
    <w:p w14:paraId="45ACAE2F">
      <w:pPr>
        <w:spacing w:line="500" w:lineRule="exact"/>
        <w:ind w:firstLine="480" w:firstLineChars="200"/>
      </w:pPr>
      <w:r>
        <w:rPr>
          <w:rFonts w:hint="eastAsia" w:ascii="宋体" w:hAnsi="宋体" w:eastAsia="宋体" w:cs="宋体"/>
          <w:sz w:val="24"/>
          <w:lang w:val="en-US" w:eastAsia="zh-CN"/>
        </w:rPr>
        <w:t>5.供应商及其所聘用护理员不得利用工作之便在医院内从事超出合同服务范围的其他经营性活动。护理员不得直接向患者或家属收取服务费，不得向患者或家属推荐或兜售任何产品和服务（如保健品、通乳费用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8C7CF7"/>
    <w:multiLevelType w:val="singleLevel"/>
    <w:tmpl w:val="998C7CF7"/>
    <w:lvl w:ilvl="0" w:tentative="0">
      <w:start w:val="1"/>
      <w:numFmt w:val="chineseCounting"/>
      <w:suff w:val="nothing"/>
      <w:lvlText w:val="%1、"/>
      <w:lvlJc w:val="left"/>
      <w:pPr>
        <w:ind w:left="15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067EED"/>
    <w:rsid w:val="21D2510C"/>
    <w:rsid w:val="68794322"/>
    <w:rsid w:val="76067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1497</Words>
  <Characters>1519</Characters>
  <Lines>0</Lines>
  <Paragraphs>0</Paragraphs>
  <TotalTime>0</TotalTime>
  <ScaleCrop>false</ScaleCrop>
  <LinksUpToDate>false</LinksUpToDate>
  <CharactersWithSpaces>1523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2024-11-27T08:03:00Z</dcterms:created>
  <dc:creator>邱玥</dc:creator>
  <cp:lastModifiedBy>邱玥</cp:lastModifiedBy>
  <dcterms:modified xsi:type="dcterms:W3CDTF">2024-12-05T06:40:01Z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628D26DC3F79418E9A30AEBF68DD0EE3_13</vt:lpwstr>
  </property>
</Properties>
</file>