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E6BB5F">
      <w:pPr>
        <w:jc w:val="left"/>
        <w:rPr>
          <w:rFonts w:hint="default" w:ascii="Times New Roman" w:hAnsi="Times New Roman" w:eastAsia="华文中宋" w:cs="Times New Roman"/>
          <w:b/>
          <w:sz w:val="32"/>
          <w:szCs w:val="22"/>
        </w:rPr>
      </w:pPr>
      <w:bookmarkStart w:id="0" w:name="_Hlt101233737"/>
      <w:bookmarkEnd w:id="0"/>
      <w:bookmarkStart w:id="1" w:name="_Hlt101843627"/>
      <w:bookmarkEnd w:id="1"/>
      <w:r>
        <w:rPr>
          <w:rFonts w:hint="default" w:ascii="Times New Roman" w:hAnsi="Times New Roman" w:eastAsia="华文中宋" w:cs="Times New Roman"/>
          <w:b/>
          <w:sz w:val="32"/>
          <w:lang w:val="en-US" w:eastAsia="zh-CN"/>
        </w:rPr>
        <w:t>附件</w:t>
      </w:r>
      <w:r>
        <w:rPr>
          <w:rFonts w:hint="eastAsia" w:ascii="Times New Roman" w:hAnsi="Times New Roman" w:eastAsia="华文中宋" w:cs="Times New Roman"/>
          <w:b/>
          <w:sz w:val="32"/>
          <w:lang w:val="en-US" w:eastAsia="zh-CN"/>
        </w:rPr>
        <w:t>3</w:t>
      </w:r>
      <w:r>
        <w:rPr>
          <w:rFonts w:hint="default" w:ascii="Times New Roman" w:hAnsi="Times New Roman" w:eastAsia="华文中宋" w:cs="Times New Roman"/>
          <w:b/>
          <w:sz w:val="32"/>
          <w:lang w:val="en-US" w:eastAsia="zh-CN"/>
        </w:rPr>
        <w:t>：</w:t>
      </w:r>
      <w:r>
        <w:rPr>
          <w:rFonts w:hint="default" w:ascii="Times New Roman" w:hAnsi="Times New Roman" w:eastAsia="华文中宋" w:cs="Times New Roman"/>
          <w:b/>
          <w:sz w:val="32"/>
          <w:szCs w:val="22"/>
        </w:rPr>
        <w:t>综合评分明细表</w:t>
      </w:r>
    </w:p>
    <w:tbl>
      <w:tblPr>
        <w:tblStyle w:val="16"/>
        <w:tblW w:w="5705" w:type="pct"/>
        <w:jc w:val="center"/>
        <w:tblLayout w:type="autofit"/>
        <w:tblCellMar>
          <w:top w:w="0" w:type="dxa"/>
          <w:left w:w="108" w:type="dxa"/>
          <w:bottom w:w="0" w:type="dxa"/>
          <w:right w:w="108" w:type="dxa"/>
        </w:tblCellMar>
      </w:tblPr>
      <w:tblGrid>
        <w:gridCol w:w="641"/>
        <w:gridCol w:w="1090"/>
        <w:gridCol w:w="687"/>
        <w:gridCol w:w="5228"/>
        <w:gridCol w:w="2078"/>
      </w:tblGrid>
      <w:tr w14:paraId="6ED9DA89">
        <w:tblPrEx>
          <w:tblCellMar>
            <w:top w:w="0" w:type="dxa"/>
            <w:left w:w="108" w:type="dxa"/>
            <w:bottom w:w="0" w:type="dxa"/>
            <w:right w:w="108" w:type="dxa"/>
          </w:tblCellMar>
        </w:tblPrEx>
        <w:trPr>
          <w:trHeight w:val="684" w:hRule="atLeas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69D9CD0E">
            <w:pPr>
              <w:autoSpaceDN w:val="0"/>
              <w:spacing w:line="360" w:lineRule="auto"/>
              <w:ind w:firstLine="28"/>
              <w:jc w:val="center"/>
              <w:rPr>
                <w:rFonts w:ascii="宋体" w:hAnsi="宋体"/>
                <w:b/>
              </w:rPr>
            </w:pPr>
            <w:r>
              <w:rPr>
                <w:rFonts w:ascii="宋体" w:hAnsi="宋体"/>
                <w:b/>
              </w:rPr>
              <w:t>序号</w:t>
            </w:r>
          </w:p>
        </w:tc>
        <w:tc>
          <w:tcPr>
            <w:tcW w:w="560" w:type="pct"/>
            <w:tcBorders>
              <w:top w:val="single" w:color="000000" w:sz="4" w:space="0"/>
              <w:bottom w:val="single" w:color="000000" w:sz="4" w:space="0"/>
              <w:right w:val="single" w:color="000000" w:sz="4" w:space="0"/>
            </w:tcBorders>
            <w:vAlign w:val="center"/>
          </w:tcPr>
          <w:p w14:paraId="2330E353">
            <w:pPr>
              <w:autoSpaceDN w:val="0"/>
              <w:spacing w:line="360" w:lineRule="auto"/>
              <w:ind w:firstLine="28"/>
              <w:jc w:val="center"/>
              <w:rPr>
                <w:rFonts w:ascii="宋体" w:hAnsi="宋体"/>
                <w:b/>
              </w:rPr>
            </w:pPr>
            <w:r>
              <w:rPr>
                <w:rFonts w:ascii="宋体" w:hAnsi="宋体"/>
                <w:b/>
              </w:rPr>
              <w:t>评分因素</w:t>
            </w:r>
          </w:p>
        </w:tc>
        <w:tc>
          <w:tcPr>
            <w:tcW w:w="353" w:type="pct"/>
            <w:tcBorders>
              <w:top w:val="single" w:color="000000" w:sz="4" w:space="0"/>
              <w:bottom w:val="single" w:color="000000" w:sz="4" w:space="0"/>
              <w:right w:val="single" w:color="000000" w:sz="4" w:space="0"/>
            </w:tcBorders>
            <w:vAlign w:val="center"/>
          </w:tcPr>
          <w:p w14:paraId="746C5E20">
            <w:pPr>
              <w:autoSpaceDN w:val="0"/>
              <w:spacing w:line="360" w:lineRule="auto"/>
              <w:ind w:firstLine="28"/>
              <w:jc w:val="center"/>
              <w:rPr>
                <w:rFonts w:ascii="宋体" w:hAnsi="宋体"/>
                <w:b/>
              </w:rPr>
            </w:pPr>
            <w:r>
              <w:rPr>
                <w:rFonts w:ascii="宋体" w:hAnsi="宋体"/>
                <w:b/>
              </w:rPr>
              <w:t>分值</w:t>
            </w:r>
          </w:p>
        </w:tc>
        <w:tc>
          <w:tcPr>
            <w:tcW w:w="2687" w:type="pct"/>
            <w:tcBorders>
              <w:top w:val="single" w:color="000000" w:sz="4" w:space="0"/>
              <w:bottom w:val="single" w:color="000000" w:sz="4" w:space="0"/>
              <w:right w:val="single" w:color="000000" w:sz="4" w:space="0"/>
            </w:tcBorders>
            <w:vAlign w:val="center"/>
          </w:tcPr>
          <w:p w14:paraId="78BA15C0">
            <w:pPr>
              <w:autoSpaceDN w:val="0"/>
              <w:spacing w:line="360" w:lineRule="auto"/>
              <w:ind w:firstLine="28"/>
              <w:jc w:val="center"/>
              <w:rPr>
                <w:rFonts w:ascii="宋体" w:hAnsi="宋体"/>
                <w:b/>
              </w:rPr>
            </w:pPr>
            <w:r>
              <w:rPr>
                <w:rFonts w:ascii="宋体" w:hAnsi="宋体"/>
                <w:b/>
              </w:rPr>
              <w:t>评分标准</w:t>
            </w:r>
          </w:p>
        </w:tc>
        <w:tc>
          <w:tcPr>
            <w:tcW w:w="1068" w:type="pct"/>
            <w:tcBorders>
              <w:top w:val="single" w:color="000000" w:sz="4" w:space="0"/>
              <w:bottom w:val="single" w:color="000000" w:sz="4" w:space="0"/>
              <w:right w:val="single" w:color="000000" w:sz="4" w:space="0"/>
            </w:tcBorders>
            <w:vAlign w:val="center"/>
          </w:tcPr>
          <w:p w14:paraId="0691A902">
            <w:pPr>
              <w:autoSpaceDN w:val="0"/>
              <w:spacing w:line="360" w:lineRule="auto"/>
              <w:ind w:firstLine="28"/>
              <w:jc w:val="center"/>
              <w:rPr>
                <w:rFonts w:ascii="宋体" w:hAnsi="宋体"/>
                <w:b/>
              </w:rPr>
            </w:pPr>
            <w:r>
              <w:rPr>
                <w:rFonts w:ascii="宋体" w:hAnsi="宋体"/>
                <w:b/>
              </w:rPr>
              <w:t>备注</w:t>
            </w:r>
          </w:p>
        </w:tc>
      </w:tr>
      <w:tr w14:paraId="175B9557">
        <w:tblPrEx>
          <w:tblCellMar>
            <w:top w:w="0" w:type="dxa"/>
            <w:left w:w="108" w:type="dxa"/>
            <w:bottom w:w="0" w:type="dxa"/>
            <w:right w:w="108" w:type="dxa"/>
          </w:tblCellMar>
        </w:tblPrEx>
        <w:trPr>
          <w:trHeight w:val="350" w:hRule="atLeas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67CBFEE6">
            <w:pPr>
              <w:autoSpaceDN w:val="0"/>
              <w:spacing w:line="440" w:lineRule="exact"/>
              <w:ind w:firstLine="235"/>
              <w:jc w:val="center"/>
              <w:rPr>
                <w:rFonts w:hint="eastAsia" w:ascii="宋体" w:hAnsi="宋体" w:eastAsia="宋体" w:cs="宋体"/>
                <w:sz w:val="24"/>
                <w:szCs w:val="24"/>
              </w:rPr>
            </w:pPr>
            <w:r>
              <w:rPr>
                <w:rFonts w:hint="eastAsia" w:ascii="宋体" w:hAnsi="宋体" w:eastAsia="宋体" w:cs="宋体"/>
                <w:sz w:val="24"/>
                <w:szCs w:val="24"/>
              </w:rPr>
              <w:t>1</w:t>
            </w:r>
          </w:p>
        </w:tc>
        <w:tc>
          <w:tcPr>
            <w:tcW w:w="560" w:type="pct"/>
            <w:tcBorders>
              <w:top w:val="single" w:color="000000" w:sz="4" w:space="0"/>
              <w:bottom w:val="single" w:color="000000" w:sz="4" w:space="0"/>
              <w:right w:val="single" w:color="000000" w:sz="4" w:space="0"/>
            </w:tcBorders>
            <w:vAlign w:val="center"/>
          </w:tcPr>
          <w:p w14:paraId="2EFDDEB5">
            <w:pPr>
              <w:autoSpaceDN w:val="0"/>
              <w:spacing w:line="440" w:lineRule="exact"/>
              <w:ind w:firstLine="28"/>
              <w:jc w:val="center"/>
              <w:rPr>
                <w:rFonts w:hint="eastAsia" w:ascii="宋体" w:hAnsi="宋体" w:eastAsia="宋体" w:cs="宋体"/>
                <w:sz w:val="24"/>
                <w:szCs w:val="24"/>
              </w:rPr>
            </w:pPr>
            <w:r>
              <w:rPr>
                <w:rFonts w:hint="eastAsia" w:ascii="宋体" w:hAnsi="宋体" w:eastAsia="宋体" w:cs="宋体"/>
                <w:sz w:val="24"/>
                <w:szCs w:val="24"/>
              </w:rPr>
              <w:t>报价</w:t>
            </w:r>
          </w:p>
          <w:p w14:paraId="68FE15D7">
            <w:pPr>
              <w:autoSpaceDN w:val="0"/>
              <w:spacing w:line="440" w:lineRule="exact"/>
              <w:ind w:firstLine="28"/>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30%</w:t>
            </w:r>
          </w:p>
        </w:tc>
        <w:tc>
          <w:tcPr>
            <w:tcW w:w="353" w:type="pct"/>
            <w:tcBorders>
              <w:top w:val="single" w:color="000000" w:sz="4" w:space="0"/>
              <w:bottom w:val="single" w:color="000000" w:sz="4" w:space="0"/>
              <w:right w:val="single" w:color="000000" w:sz="4" w:space="0"/>
            </w:tcBorders>
            <w:vAlign w:val="center"/>
          </w:tcPr>
          <w:p w14:paraId="7E83ECD5">
            <w:pPr>
              <w:autoSpaceDN w:val="0"/>
              <w:spacing w:line="440" w:lineRule="exact"/>
              <w:jc w:val="center"/>
              <w:rPr>
                <w:rFonts w:hint="eastAsia" w:ascii="宋体" w:hAnsi="宋体" w:eastAsia="宋体" w:cs="宋体"/>
                <w:sz w:val="24"/>
                <w:szCs w:val="24"/>
              </w:rPr>
            </w:pPr>
            <w:r>
              <w:rPr>
                <w:rFonts w:hint="eastAsia" w:ascii="宋体" w:hAnsi="宋体" w:eastAsia="宋体" w:cs="宋体"/>
                <w:sz w:val="24"/>
                <w:szCs w:val="24"/>
                <w:lang w:val="en-US" w:eastAsia="zh-CN"/>
              </w:rPr>
              <w:t>30</w:t>
            </w:r>
            <w:r>
              <w:rPr>
                <w:rFonts w:hint="eastAsia" w:ascii="宋体" w:hAnsi="宋体" w:eastAsia="宋体" w:cs="宋体"/>
                <w:sz w:val="24"/>
                <w:szCs w:val="24"/>
              </w:rPr>
              <w:t>分</w:t>
            </w:r>
          </w:p>
        </w:tc>
        <w:tc>
          <w:tcPr>
            <w:tcW w:w="2687" w:type="pct"/>
            <w:tcBorders>
              <w:top w:val="single" w:color="000000" w:sz="4" w:space="0"/>
              <w:bottom w:val="single" w:color="000000" w:sz="4" w:space="0"/>
              <w:right w:val="single" w:color="000000" w:sz="4" w:space="0"/>
            </w:tcBorders>
          </w:tcPr>
          <w:p w14:paraId="24C4CDC7">
            <w:pPr>
              <w:autoSpaceDN w:val="0"/>
              <w:spacing w:line="440" w:lineRule="exact"/>
              <w:rPr>
                <w:rFonts w:hint="eastAsia" w:ascii="宋体" w:hAnsi="宋体" w:eastAsia="宋体" w:cs="宋体"/>
                <w:sz w:val="24"/>
                <w:szCs w:val="24"/>
                <w:lang w:val="en-US" w:eastAsia="zh-CN"/>
              </w:rPr>
            </w:pPr>
            <w:r>
              <w:rPr>
                <w:rFonts w:hint="eastAsia" w:ascii="宋体" w:hAnsi="宋体" w:eastAsia="宋体" w:cs="宋体"/>
                <w:sz w:val="24"/>
                <w:szCs w:val="24"/>
              </w:rPr>
              <w:t>满足招标文件要求且投标价格最低的投标报价为评标基准价，其价格分为满分。其他投标人的价格分统一按照下列公式计算：投标报价得分=(评标基准价／投标报价)×30%×100；</w:t>
            </w:r>
          </w:p>
        </w:tc>
        <w:tc>
          <w:tcPr>
            <w:tcW w:w="1068" w:type="pct"/>
            <w:tcBorders>
              <w:top w:val="single" w:color="000000" w:sz="4" w:space="0"/>
              <w:bottom w:val="single" w:color="000000" w:sz="4" w:space="0"/>
              <w:right w:val="single" w:color="000000" w:sz="4" w:space="0"/>
            </w:tcBorders>
          </w:tcPr>
          <w:p w14:paraId="5C52B4BD">
            <w:pPr>
              <w:autoSpaceDN w:val="0"/>
              <w:spacing w:line="440" w:lineRule="exact"/>
              <w:rPr>
                <w:rFonts w:hint="eastAsia" w:ascii="宋体" w:hAnsi="宋体" w:eastAsia="宋体" w:cs="宋体"/>
                <w:sz w:val="24"/>
                <w:szCs w:val="24"/>
              </w:rPr>
            </w:pPr>
          </w:p>
        </w:tc>
      </w:tr>
      <w:tr w14:paraId="518537AE">
        <w:tblPrEx>
          <w:tblCellMar>
            <w:top w:w="0" w:type="dxa"/>
            <w:left w:w="108" w:type="dxa"/>
            <w:bottom w:w="0" w:type="dxa"/>
            <w:right w:w="108" w:type="dxa"/>
          </w:tblCellMar>
        </w:tblPrEx>
        <w:trPr>
          <w:trHeight w:val="350" w:hRule="atLeast"/>
          <w:jc w:val="center"/>
        </w:trPr>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B3B44">
            <w:pPr>
              <w:autoSpaceDN w:val="0"/>
              <w:spacing w:line="440" w:lineRule="exact"/>
              <w:ind w:firstLine="235"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560" w:type="pct"/>
            <w:tcBorders>
              <w:top w:val="single" w:color="000000" w:sz="4" w:space="0"/>
              <w:bottom w:val="single" w:color="000000" w:sz="4" w:space="0"/>
              <w:right w:val="single" w:color="000000" w:sz="4" w:space="0"/>
            </w:tcBorders>
            <w:shd w:val="clear" w:color="auto" w:fill="auto"/>
            <w:vAlign w:val="center"/>
          </w:tcPr>
          <w:p w14:paraId="6875DCD1">
            <w:pPr>
              <w:autoSpaceDN w:val="0"/>
              <w:spacing w:line="440" w:lineRule="exact"/>
              <w:jc w:val="center"/>
              <w:rPr>
                <w:rFonts w:hint="eastAsia" w:ascii="宋体" w:hAnsi="宋体" w:eastAsia="宋体" w:cs="宋体"/>
                <w:sz w:val="24"/>
                <w:szCs w:val="24"/>
              </w:rPr>
            </w:pPr>
            <w:r>
              <w:rPr>
                <w:rFonts w:hint="eastAsia" w:ascii="宋体" w:hAnsi="宋体" w:eastAsia="宋体" w:cs="宋体"/>
                <w:sz w:val="24"/>
                <w:szCs w:val="24"/>
              </w:rPr>
              <w:t>履约能力</w:t>
            </w:r>
          </w:p>
          <w:p w14:paraId="7D6A3BDF">
            <w:pPr>
              <w:autoSpaceDN w:val="0"/>
              <w:spacing w:line="440" w:lineRule="exact"/>
              <w:jc w:val="center"/>
              <w:rPr>
                <w:rFonts w:hint="default"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12%</w:t>
            </w:r>
          </w:p>
        </w:tc>
        <w:tc>
          <w:tcPr>
            <w:tcW w:w="353" w:type="pct"/>
            <w:tcBorders>
              <w:top w:val="single" w:color="000000" w:sz="4" w:space="0"/>
              <w:bottom w:val="single" w:color="000000" w:sz="4" w:space="0"/>
              <w:right w:val="single" w:color="000000" w:sz="4" w:space="0"/>
            </w:tcBorders>
            <w:shd w:val="clear" w:color="auto" w:fill="auto"/>
            <w:vAlign w:val="center"/>
          </w:tcPr>
          <w:p w14:paraId="12714C5A">
            <w:pPr>
              <w:autoSpaceDN w:val="0"/>
              <w:spacing w:line="440" w:lineRule="exact"/>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12</w:t>
            </w:r>
            <w:r>
              <w:rPr>
                <w:rFonts w:hint="eastAsia" w:ascii="宋体" w:hAnsi="宋体" w:eastAsia="宋体" w:cs="宋体"/>
                <w:sz w:val="24"/>
                <w:szCs w:val="24"/>
              </w:rPr>
              <w:t>分</w:t>
            </w:r>
          </w:p>
        </w:tc>
        <w:tc>
          <w:tcPr>
            <w:tcW w:w="2687" w:type="pct"/>
            <w:tcBorders>
              <w:top w:val="single" w:color="000000" w:sz="4" w:space="0"/>
              <w:bottom w:val="single" w:color="000000" w:sz="4" w:space="0"/>
              <w:right w:val="single" w:color="000000" w:sz="4" w:space="0"/>
            </w:tcBorders>
            <w:shd w:val="clear" w:color="auto" w:fill="auto"/>
            <w:vAlign w:val="top"/>
          </w:tcPr>
          <w:p w14:paraId="3BA068DC">
            <w:pPr>
              <w:autoSpaceDN/>
              <w:spacing w:line="440" w:lineRule="exact"/>
              <w:rPr>
                <w:rFonts w:hint="eastAsia" w:ascii="宋体" w:hAnsi="宋体" w:eastAsia="宋体" w:cs="宋体"/>
                <w:sz w:val="24"/>
                <w:szCs w:val="24"/>
                <w:lang w:eastAsia="zh-CN"/>
              </w:rPr>
            </w:pPr>
            <w:r>
              <w:rPr>
                <w:rFonts w:hint="eastAsia" w:ascii="宋体" w:hAnsi="宋体" w:eastAsia="宋体" w:cs="宋体"/>
                <w:sz w:val="24"/>
                <w:szCs w:val="24"/>
              </w:rPr>
              <w:t>供应商为本项目配置人员满足：项目负责人</w:t>
            </w:r>
            <w:r>
              <w:rPr>
                <w:rFonts w:hint="eastAsia" w:ascii="宋体" w:hAnsi="宋体" w:eastAsia="宋体" w:cs="宋体"/>
                <w:sz w:val="24"/>
                <w:szCs w:val="24"/>
                <w:lang w:val="en-US" w:eastAsia="zh-CN"/>
              </w:rPr>
              <w:t>≥</w:t>
            </w:r>
            <w:r>
              <w:rPr>
                <w:rFonts w:hint="eastAsia" w:ascii="宋体" w:hAnsi="宋体" w:eastAsia="宋体" w:cs="宋体"/>
                <w:sz w:val="24"/>
                <w:szCs w:val="24"/>
              </w:rPr>
              <w:t>1 人，总测评师</w:t>
            </w:r>
            <w:r>
              <w:rPr>
                <w:rFonts w:hint="eastAsia" w:ascii="宋体" w:hAnsi="宋体" w:eastAsia="宋体" w:cs="宋体"/>
                <w:sz w:val="24"/>
                <w:szCs w:val="24"/>
                <w:lang w:val="en-US" w:eastAsia="zh-CN"/>
              </w:rPr>
              <w:t>≥</w:t>
            </w:r>
            <w:r>
              <w:rPr>
                <w:rFonts w:hint="eastAsia" w:ascii="宋体" w:hAnsi="宋体" w:eastAsia="宋体" w:cs="宋体"/>
                <w:sz w:val="24"/>
                <w:szCs w:val="24"/>
              </w:rPr>
              <w:t>1人，测评师</w:t>
            </w:r>
            <w:r>
              <w:rPr>
                <w:rFonts w:hint="eastAsia" w:ascii="宋体" w:hAnsi="宋体" w:eastAsia="宋体" w:cs="宋体"/>
                <w:sz w:val="24"/>
                <w:szCs w:val="24"/>
                <w:lang w:val="en-US" w:eastAsia="zh-CN"/>
              </w:rPr>
              <w:t>≥1</w:t>
            </w:r>
            <w:r>
              <w:rPr>
                <w:rFonts w:hint="eastAsia" w:ascii="宋体" w:hAnsi="宋体" w:eastAsia="宋体" w:cs="宋体"/>
                <w:sz w:val="24"/>
                <w:szCs w:val="24"/>
              </w:rPr>
              <w:t>人</w:t>
            </w:r>
            <w:r>
              <w:rPr>
                <w:rFonts w:hint="eastAsia" w:ascii="宋体" w:hAnsi="宋体" w:eastAsia="宋体" w:cs="宋体"/>
                <w:sz w:val="24"/>
                <w:szCs w:val="24"/>
                <w:lang w:eastAsia="zh-CN"/>
              </w:rPr>
              <w:t>。</w:t>
            </w:r>
          </w:p>
          <w:p w14:paraId="70F82115">
            <w:pPr>
              <w:autoSpaceDN/>
              <w:spacing w:line="440" w:lineRule="exact"/>
              <w:rPr>
                <w:rFonts w:hint="eastAsia" w:ascii="宋体" w:hAnsi="宋体" w:eastAsia="宋体" w:cs="宋体"/>
                <w:sz w:val="24"/>
                <w:szCs w:val="24"/>
              </w:rPr>
            </w:pPr>
            <w:r>
              <w:rPr>
                <w:rFonts w:hint="eastAsia" w:ascii="宋体" w:hAnsi="宋体" w:eastAsia="宋体" w:cs="宋体"/>
                <w:sz w:val="24"/>
                <w:szCs w:val="24"/>
              </w:rPr>
              <w:t>①现场项目负责人同时具有等级保护测评师</w:t>
            </w:r>
            <w:r>
              <w:rPr>
                <w:rFonts w:hint="eastAsia" w:ascii="宋体" w:hAnsi="宋体" w:eastAsia="宋体" w:cs="宋体"/>
                <w:sz w:val="24"/>
                <w:szCs w:val="24"/>
                <w:lang w:val="en-US" w:eastAsia="zh-CN"/>
              </w:rPr>
              <w:t>高级</w:t>
            </w:r>
            <w:r>
              <w:rPr>
                <w:rFonts w:hint="eastAsia" w:ascii="宋体" w:hAnsi="宋体" w:eastAsia="宋体" w:cs="宋体"/>
                <w:sz w:val="24"/>
                <w:szCs w:val="24"/>
              </w:rPr>
              <w:t>证书、信息安全保障人员（CISAW）证书、注册信息安全专业人员证书（CISP），每提供一个得</w:t>
            </w:r>
            <w:r>
              <w:rPr>
                <w:rFonts w:hint="eastAsia" w:ascii="宋体" w:hAnsi="宋体" w:eastAsia="宋体" w:cs="宋体"/>
                <w:sz w:val="24"/>
                <w:szCs w:val="24"/>
                <w:lang w:val="en-US" w:eastAsia="zh-CN"/>
              </w:rPr>
              <w:t>4</w:t>
            </w:r>
            <w:r>
              <w:rPr>
                <w:rFonts w:hint="eastAsia" w:ascii="宋体" w:hAnsi="宋体" w:eastAsia="宋体" w:cs="宋体"/>
                <w:sz w:val="24"/>
                <w:szCs w:val="24"/>
              </w:rPr>
              <w:t>分，全部满足得</w:t>
            </w:r>
            <w:r>
              <w:rPr>
                <w:rFonts w:hint="eastAsia" w:ascii="宋体" w:hAnsi="宋体" w:eastAsia="宋体" w:cs="宋体"/>
                <w:sz w:val="24"/>
                <w:szCs w:val="24"/>
                <w:lang w:val="en-US" w:eastAsia="zh-CN"/>
              </w:rPr>
              <w:t>4</w:t>
            </w:r>
            <w:r>
              <w:rPr>
                <w:rFonts w:hint="eastAsia" w:ascii="宋体" w:hAnsi="宋体" w:eastAsia="宋体" w:cs="宋体"/>
                <w:sz w:val="24"/>
                <w:szCs w:val="24"/>
              </w:rPr>
              <w:t>分；(提供证书复印件并加盖供应商公章)</w:t>
            </w:r>
          </w:p>
          <w:p w14:paraId="21C8D570">
            <w:pPr>
              <w:autoSpaceDN/>
              <w:spacing w:line="440" w:lineRule="exact"/>
              <w:rPr>
                <w:rFonts w:hint="eastAsia" w:ascii="宋体" w:hAnsi="宋体" w:eastAsia="宋体" w:cs="宋体"/>
                <w:sz w:val="24"/>
                <w:szCs w:val="24"/>
              </w:rPr>
            </w:pPr>
            <w:r>
              <w:rPr>
                <w:rFonts w:hint="eastAsia" w:ascii="宋体" w:hAnsi="宋体" w:eastAsia="宋体" w:cs="宋体"/>
                <w:sz w:val="24"/>
                <w:szCs w:val="24"/>
                <w:lang w:val="en-US" w:eastAsia="zh-CN"/>
              </w:rPr>
              <w:t>②</w:t>
            </w:r>
            <w:r>
              <w:rPr>
                <w:rFonts w:hint="eastAsia" w:ascii="宋体" w:hAnsi="宋体" w:eastAsia="宋体" w:cs="宋体"/>
                <w:sz w:val="24"/>
                <w:szCs w:val="24"/>
              </w:rPr>
              <w:t>派驻本项目</w:t>
            </w:r>
            <w:r>
              <w:rPr>
                <w:rFonts w:hint="eastAsia" w:ascii="宋体" w:hAnsi="宋体" w:eastAsia="宋体" w:cs="宋体"/>
                <w:sz w:val="24"/>
                <w:szCs w:val="24"/>
                <w:lang w:val="en-US" w:eastAsia="zh-CN"/>
              </w:rPr>
              <w:t>总测评师</w:t>
            </w:r>
            <w:r>
              <w:rPr>
                <w:rFonts w:hint="eastAsia" w:ascii="宋体" w:hAnsi="宋体" w:eastAsia="宋体" w:cs="宋体"/>
                <w:sz w:val="24"/>
                <w:szCs w:val="24"/>
              </w:rPr>
              <w:t>同时具有信息安全等级测评师中级或以上证书、注册信息安全专业人员证书（CISP）证书</w:t>
            </w:r>
            <w:r>
              <w:rPr>
                <w:rFonts w:hint="eastAsia" w:ascii="宋体" w:hAnsi="宋体" w:eastAsia="宋体" w:cs="宋体"/>
                <w:sz w:val="24"/>
                <w:szCs w:val="24"/>
                <w:lang w:eastAsia="zh-CN"/>
              </w:rPr>
              <w:t>，</w:t>
            </w:r>
            <w:r>
              <w:rPr>
                <w:rFonts w:hint="eastAsia" w:ascii="宋体" w:hAnsi="宋体" w:eastAsia="宋体" w:cs="宋体"/>
                <w:sz w:val="24"/>
                <w:szCs w:val="24"/>
              </w:rPr>
              <w:t>每提供1</w:t>
            </w:r>
            <w:r>
              <w:rPr>
                <w:rFonts w:hint="eastAsia" w:ascii="宋体" w:hAnsi="宋体" w:eastAsia="宋体" w:cs="宋体"/>
                <w:sz w:val="24"/>
                <w:szCs w:val="24"/>
                <w:lang w:val="en-US" w:eastAsia="zh-CN"/>
              </w:rPr>
              <w:t>个</w:t>
            </w:r>
            <w:r>
              <w:rPr>
                <w:rFonts w:hint="eastAsia" w:ascii="宋体" w:hAnsi="宋体" w:eastAsia="宋体" w:cs="宋体"/>
                <w:sz w:val="24"/>
                <w:szCs w:val="24"/>
              </w:rPr>
              <w:t>得</w:t>
            </w:r>
            <w:r>
              <w:rPr>
                <w:rFonts w:hint="eastAsia" w:ascii="宋体" w:hAnsi="宋体" w:eastAsia="宋体" w:cs="宋体"/>
                <w:sz w:val="24"/>
                <w:szCs w:val="24"/>
                <w:lang w:val="en-US" w:eastAsia="zh-CN"/>
              </w:rPr>
              <w:t>2</w:t>
            </w:r>
            <w:r>
              <w:rPr>
                <w:rFonts w:hint="eastAsia" w:ascii="宋体" w:hAnsi="宋体" w:eastAsia="宋体" w:cs="宋体"/>
                <w:sz w:val="24"/>
                <w:szCs w:val="24"/>
              </w:rPr>
              <w:t>分，最多得</w:t>
            </w:r>
            <w:r>
              <w:rPr>
                <w:rFonts w:hint="eastAsia" w:ascii="宋体" w:hAnsi="宋体" w:eastAsia="宋体" w:cs="宋体"/>
                <w:sz w:val="24"/>
                <w:szCs w:val="24"/>
                <w:lang w:val="en-US" w:eastAsia="zh-CN"/>
              </w:rPr>
              <w:t>4</w:t>
            </w:r>
            <w:r>
              <w:rPr>
                <w:rFonts w:hint="eastAsia" w:ascii="宋体" w:hAnsi="宋体" w:eastAsia="宋体" w:cs="宋体"/>
                <w:sz w:val="24"/>
                <w:szCs w:val="24"/>
              </w:rPr>
              <w:t>分。(提供证书复印件并加盖供应商公章)</w:t>
            </w:r>
          </w:p>
          <w:p w14:paraId="0E1CF9F8">
            <w:pPr>
              <w:autoSpaceDN/>
              <w:spacing w:line="440" w:lineRule="exac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③</w:t>
            </w:r>
            <w:r>
              <w:rPr>
                <w:rFonts w:hint="eastAsia" w:ascii="宋体" w:hAnsi="宋体" w:eastAsia="宋体" w:cs="宋体"/>
                <w:sz w:val="24"/>
                <w:szCs w:val="24"/>
              </w:rPr>
              <w:t>派驻本项目</w:t>
            </w:r>
            <w:r>
              <w:rPr>
                <w:rFonts w:hint="eastAsia" w:ascii="宋体" w:hAnsi="宋体" w:eastAsia="宋体" w:cs="宋体"/>
                <w:sz w:val="24"/>
                <w:szCs w:val="24"/>
                <w:lang w:val="en-US" w:eastAsia="zh-CN"/>
              </w:rPr>
              <w:t>测评师</w:t>
            </w:r>
            <w:r>
              <w:rPr>
                <w:rFonts w:hint="eastAsia" w:ascii="宋体" w:hAnsi="宋体" w:eastAsia="宋体" w:cs="宋体"/>
                <w:sz w:val="24"/>
                <w:szCs w:val="24"/>
              </w:rPr>
              <w:t>同时具有信息安全等级测评师初级或以上证书、信息安全保障人员（CISAW）证书</w:t>
            </w:r>
            <w:r>
              <w:rPr>
                <w:rFonts w:hint="eastAsia" w:ascii="宋体" w:hAnsi="宋体" w:eastAsia="宋体" w:cs="宋体"/>
                <w:sz w:val="24"/>
                <w:szCs w:val="24"/>
                <w:lang w:eastAsia="zh-CN"/>
              </w:rPr>
              <w:t>，</w:t>
            </w:r>
            <w:r>
              <w:rPr>
                <w:rFonts w:hint="eastAsia" w:ascii="宋体" w:hAnsi="宋体" w:eastAsia="宋体" w:cs="宋体"/>
                <w:sz w:val="24"/>
                <w:szCs w:val="24"/>
              </w:rPr>
              <w:t>每提供1</w:t>
            </w:r>
            <w:r>
              <w:rPr>
                <w:rFonts w:hint="eastAsia" w:ascii="宋体" w:hAnsi="宋体" w:eastAsia="宋体" w:cs="宋体"/>
                <w:sz w:val="24"/>
                <w:szCs w:val="24"/>
                <w:lang w:val="en-US" w:eastAsia="zh-CN"/>
              </w:rPr>
              <w:t>个</w:t>
            </w:r>
            <w:r>
              <w:rPr>
                <w:rFonts w:hint="eastAsia" w:ascii="宋体" w:hAnsi="宋体" w:eastAsia="宋体" w:cs="宋体"/>
                <w:sz w:val="24"/>
                <w:szCs w:val="24"/>
              </w:rPr>
              <w:t>得</w:t>
            </w:r>
            <w:r>
              <w:rPr>
                <w:rFonts w:hint="eastAsia" w:ascii="宋体" w:hAnsi="宋体" w:eastAsia="宋体" w:cs="宋体"/>
                <w:sz w:val="24"/>
                <w:szCs w:val="24"/>
                <w:lang w:val="en-US" w:eastAsia="zh-CN"/>
              </w:rPr>
              <w:t>2</w:t>
            </w:r>
            <w:r>
              <w:rPr>
                <w:rFonts w:hint="eastAsia" w:ascii="宋体" w:hAnsi="宋体" w:eastAsia="宋体" w:cs="宋体"/>
                <w:sz w:val="24"/>
                <w:szCs w:val="24"/>
              </w:rPr>
              <w:t>分，最多得</w:t>
            </w:r>
            <w:r>
              <w:rPr>
                <w:rFonts w:hint="eastAsia" w:ascii="宋体" w:hAnsi="宋体" w:eastAsia="宋体" w:cs="宋体"/>
                <w:sz w:val="24"/>
                <w:szCs w:val="24"/>
                <w:lang w:val="en-US" w:eastAsia="zh-CN"/>
              </w:rPr>
              <w:t>4</w:t>
            </w:r>
            <w:r>
              <w:rPr>
                <w:rFonts w:hint="eastAsia" w:ascii="宋体" w:hAnsi="宋体" w:eastAsia="宋体" w:cs="宋体"/>
                <w:sz w:val="24"/>
                <w:szCs w:val="24"/>
              </w:rPr>
              <w:t>分，任缺一项证书不得分。(提供证书复印件并加盖供应商公章)</w:t>
            </w:r>
          </w:p>
        </w:tc>
        <w:tc>
          <w:tcPr>
            <w:tcW w:w="1068" w:type="pct"/>
            <w:tcBorders>
              <w:top w:val="single" w:color="000000" w:sz="4" w:space="0"/>
              <w:bottom w:val="single" w:color="000000" w:sz="4" w:space="0"/>
              <w:right w:val="single" w:color="000000" w:sz="4" w:space="0"/>
            </w:tcBorders>
            <w:shd w:val="clear" w:color="auto" w:fill="auto"/>
            <w:vAlign w:val="top"/>
          </w:tcPr>
          <w:p w14:paraId="7DF31511">
            <w:pPr>
              <w:pStyle w:val="7"/>
              <w:spacing w:line="440" w:lineRule="exact"/>
              <w:rPr>
                <w:rFonts w:hint="eastAsia" w:ascii="宋体" w:hAnsi="宋体" w:eastAsia="宋体" w:cs="宋体"/>
                <w:kern w:val="2"/>
                <w:sz w:val="24"/>
                <w:szCs w:val="24"/>
                <w:lang w:val="en-US" w:eastAsia="zh-CN" w:bidi="ar-SA"/>
              </w:rPr>
            </w:pPr>
          </w:p>
        </w:tc>
      </w:tr>
      <w:tr w14:paraId="6331C78F">
        <w:tblPrEx>
          <w:tblCellMar>
            <w:top w:w="0" w:type="dxa"/>
            <w:left w:w="108" w:type="dxa"/>
            <w:bottom w:w="0" w:type="dxa"/>
            <w:right w:w="108" w:type="dxa"/>
          </w:tblCellMar>
        </w:tblPrEx>
        <w:trPr>
          <w:trHeight w:val="350" w:hRule="atLeast"/>
          <w:jc w:val="center"/>
        </w:trPr>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7DD66C">
            <w:pPr>
              <w:autoSpaceDN w:val="0"/>
              <w:spacing w:line="440" w:lineRule="exact"/>
              <w:ind w:firstLine="235"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w:t>
            </w:r>
          </w:p>
        </w:tc>
        <w:tc>
          <w:tcPr>
            <w:tcW w:w="560" w:type="pct"/>
            <w:tcBorders>
              <w:top w:val="single" w:color="000000" w:sz="4" w:space="0"/>
              <w:bottom w:val="single" w:color="000000" w:sz="4" w:space="0"/>
              <w:right w:val="single" w:color="000000" w:sz="4" w:space="0"/>
            </w:tcBorders>
            <w:shd w:val="clear" w:color="auto" w:fill="auto"/>
            <w:vAlign w:val="center"/>
          </w:tcPr>
          <w:p w14:paraId="6FDB9288">
            <w:pPr>
              <w:autoSpaceDN w:val="0"/>
              <w:spacing w:line="44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项目实施方案</w:t>
            </w:r>
          </w:p>
          <w:p w14:paraId="7ED3259B">
            <w:pPr>
              <w:autoSpaceDN w:val="0"/>
              <w:spacing w:line="440" w:lineRule="exact"/>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32%</w:t>
            </w:r>
          </w:p>
        </w:tc>
        <w:tc>
          <w:tcPr>
            <w:tcW w:w="353" w:type="pct"/>
            <w:tcBorders>
              <w:top w:val="single" w:color="000000" w:sz="4" w:space="0"/>
              <w:bottom w:val="single" w:color="000000" w:sz="4" w:space="0"/>
              <w:right w:val="single" w:color="000000" w:sz="4" w:space="0"/>
            </w:tcBorders>
            <w:shd w:val="clear" w:color="auto" w:fill="auto"/>
            <w:vAlign w:val="center"/>
          </w:tcPr>
          <w:p w14:paraId="34157E56">
            <w:pPr>
              <w:autoSpaceDN w:val="0"/>
              <w:spacing w:line="440" w:lineRule="exact"/>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32</w:t>
            </w:r>
            <w:r>
              <w:rPr>
                <w:rFonts w:hint="eastAsia" w:ascii="宋体" w:hAnsi="宋体" w:eastAsia="宋体" w:cs="宋体"/>
                <w:sz w:val="24"/>
                <w:szCs w:val="24"/>
              </w:rPr>
              <w:t>分</w:t>
            </w:r>
          </w:p>
        </w:tc>
        <w:tc>
          <w:tcPr>
            <w:tcW w:w="2687" w:type="pct"/>
            <w:tcBorders>
              <w:top w:val="single" w:color="000000" w:sz="4" w:space="0"/>
              <w:bottom w:val="single" w:color="000000" w:sz="4" w:space="0"/>
              <w:right w:val="single" w:color="000000" w:sz="4" w:space="0"/>
            </w:tcBorders>
            <w:shd w:val="clear" w:color="auto" w:fill="auto"/>
            <w:vAlign w:val="top"/>
          </w:tcPr>
          <w:p w14:paraId="3DE57083">
            <w:pPr>
              <w:autoSpaceDN/>
              <w:spacing w:line="440" w:lineRule="exact"/>
              <w:jc w:val="left"/>
              <w:rPr>
                <w:rFonts w:hint="eastAsia" w:ascii="宋体" w:hAnsi="宋体" w:eastAsia="宋体" w:cs="宋体"/>
                <w:sz w:val="24"/>
                <w:szCs w:val="24"/>
              </w:rPr>
            </w:pPr>
            <w:r>
              <w:rPr>
                <w:rFonts w:hint="eastAsia" w:ascii="宋体" w:hAnsi="宋体" w:eastAsia="宋体" w:cs="宋体"/>
                <w:sz w:val="24"/>
                <w:szCs w:val="24"/>
              </w:rPr>
              <w:t xml:space="preserve">投标人针对本项目提供的项目实施方案包含①服务流程；②项目人员配置及分工协作；③专业知识准备；④设备配置及运用；⑤项目执行进度安排；⑥项目执行的重难点分析应对；⑦项目风险控制及质量保障措施；⑧缺陷服务及应急预案等八个方面的内容。 </w:t>
            </w:r>
          </w:p>
          <w:p w14:paraId="4743EC93">
            <w:pPr>
              <w:autoSpaceDN/>
              <w:spacing w:line="440" w:lineRule="exact"/>
              <w:jc w:val="left"/>
              <w:rPr>
                <w:rFonts w:hint="eastAsia" w:ascii="宋体" w:hAnsi="宋体" w:eastAsia="宋体" w:cs="宋体"/>
                <w:sz w:val="24"/>
                <w:szCs w:val="24"/>
              </w:rPr>
            </w:pPr>
            <w:r>
              <w:rPr>
                <w:rFonts w:hint="eastAsia" w:ascii="宋体" w:hAnsi="宋体" w:eastAsia="宋体" w:cs="宋体"/>
                <w:sz w:val="24"/>
                <w:szCs w:val="24"/>
              </w:rPr>
              <w:t xml:space="preserve">根据投标人针对上述八个方面内容在投标文件中的响应情况进行综合评审：其中每有一方面内容满足要求的得4 分，该方面中每有一处存在不足的扣 2 分， 最多4 分；每有一方面内容缺失或不满足要求的该方面内容不得分；本项最多得 32 分。 </w:t>
            </w:r>
          </w:p>
          <w:p w14:paraId="018238F6">
            <w:pPr>
              <w:autoSpaceDN/>
              <w:spacing w:line="440" w:lineRule="exact"/>
              <w:jc w:val="left"/>
              <w:rPr>
                <w:rFonts w:hint="eastAsia" w:ascii="宋体" w:hAnsi="宋体" w:eastAsia="宋体" w:cs="宋体"/>
                <w:sz w:val="24"/>
                <w:szCs w:val="24"/>
              </w:rPr>
            </w:pPr>
            <w:r>
              <w:rPr>
                <w:rFonts w:hint="eastAsia" w:ascii="宋体" w:hAnsi="宋体" w:eastAsia="宋体" w:cs="宋体"/>
                <w:sz w:val="24"/>
                <w:szCs w:val="24"/>
              </w:rPr>
              <w:t>注：</w:t>
            </w:r>
          </w:p>
          <w:p w14:paraId="14EA3572">
            <w:pPr>
              <w:numPr>
                <w:ilvl w:val="0"/>
                <w:numId w:val="1"/>
              </w:numPr>
              <w:autoSpaceDN/>
              <w:spacing w:line="440" w:lineRule="exact"/>
              <w:jc w:val="left"/>
              <w:rPr>
                <w:rFonts w:hint="eastAsia" w:ascii="宋体" w:hAnsi="宋体" w:eastAsia="宋体" w:cs="宋体"/>
                <w:sz w:val="24"/>
                <w:szCs w:val="24"/>
              </w:rPr>
            </w:pPr>
            <w:r>
              <w:rPr>
                <w:rFonts w:hint="eastAsia" w:ascii="宋体" w:hAnsi="宋体" w:eastAsia="宋体" w:cs="宋体"/>
                <w:sz w:val="24"/>
                <w:szCs w:val="24"/>
              </w:rPr>
              <w:t xml:space="preserve">以上内容满足要求是指①内容与项目技术服务需求技术类评分因素 101 序号 评分因素 及权重 分值 评分标准 说明吻合，有具体详细的阐述；②阐述从实际出发，切合项目背景、项目需求以及市场供应情况发现问题并提出合理化专业技术建议或者解决方案；③内容符合国家、地方、行业标准、行业惯例以及项目特点；④内容清楚明了、表述规范、含义准确。 </w:t>
            </w:r>
          </w:p>
          <w:p w14:paraId="3E63CF4A">
            <w:pPr>
              <w:numPr>
                <w:ilvl w:val="-1"/>
                <w:numId w:val="0"/>
              </w:numPr>
              <w:autoSpaceDN/>
              <w:spacing w:line="440" w:lineRule="exact"/>
              <w:ind w:left="0" w:leftChars="0" w:firstLine="0" w:firstLineChars="0"/>
              <w:jc w:val="left"/>
              <w:rPr>
                <w:rFonts w:hint="eastAsia" w:ascii="宋体" w:hAnsi="宋体" w:eastAsia="宋体" w:cs="宋体"/>
                <w:kern w:val="2"/>
                <w:sz w:val="24"/>
                <w:szCs w:val="24"/>
                <w:lang w:val="en-US" w:eastAsia="zh-CN" w:bidi="ar-SA"/>
              </w:rPr>
            </w:pPr>
            <w:r>
              <w:rPr>
                <w:rFonts w:hint="eastAsia" w:ascii="宋体" w:hAnsi="宋体" w:eastAsia="宋体" w:cs="宋体"/>
                <w:sz w:val="24"/>
                <w:szCs w:val="24"/>
              </w:rPr>
              <w:t>(2)存在不足是指①内容生搬硬造，阐述存在逻辑错误，前后矛盾；②涉及内容无重点，未能体现出本项目的特点或与实际需求不完全相符；③语言错误，项目名称、实施地点、政策、规范标准与本项目不一致等情形。</w:t>
            </w:r>
          </w:p>
        </w:tc>
        <w:tc>
          <w:tcPr>
            <w:tcW w:w="1068" w:type="pct"/>
            <w:tcBorders>
              <w:top w:val="single" w:color="000000" w:sz="4" w:space="0"/>
              <w:bottom w:val="single" w:color="000000" w:sz="4" w:space="0"/>
              <w:right w:val="single" w:color="000000" w:sz="4" w:space="0"/>
            </w:tcBorders>
            <w:shd w:val="clear" w:color="auto" w:fill="auto"/>
            <w:vAlign w:val="top"/>
          </w:tcPr>
          <w:p w14:paraId="32D9B7F9">
            <w:pPr>
              <w:autoSpaceDN w:val="0"/>
              <w:spacing w:line="440" w:lineRule="exact"/>
              <w:rPr>
                <w:rFonts w:hint="eastAsia" w:ascii="宋体" w:hAnsi="宋体" w:eastAsia="宋体" w:cs="宋体"/>
                <w:kern w:val="2"/>
                <w:sz w:val="24"/>
                <w:szCs w:val="24"/>
                <w:lang w:val="en-US" w:eastAsia="zh-CN" w:bidi="ar-SA"/>
              </w:rPr>
            </w:pPr>
          </w:p>
        </w:tc>
      </w:tr>
      <w:tr w14:paraId="40B41AB4">
        <w:tblPrEx>
          <w:tblCellMar>
            <w:top w:w="0" w:type="dxa"/>
            <w:left w:w="108" w:type="dxa"/>
            <w:bottom w:w="0" w:type="dxa"/>
            <w:right w:w="108" w:type="dxa"/>
          </w:tblCellMar>
        </w:tblPrEx>
        <w:trPr>
          <w:trHeight w:val="350" w:hRule="atLeas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5E9727B0">
            <w:pPr>
              <w:autoSpaceDN w:val="0"/>
              <w:spacing w:line="440" w:lineRule="exact"/>
              <w:ind w:firstLine="235"/>
              <w:jc w:val="center"/>
              <w:rPr>
                <w:rFonts w:hint="eastAsia" w:ascii="宋体" w:hAnsi="宋体" w:eastAsia="宋体" w:cs="宋体"/>
                <w:sz w:val="24"/>
                <w:szCs w:val="24"/>
                <w:lang w:eastAsia="zh-CN"/>
              </w:rPr>
            </w:pPr>
          </w:p>
        </w:tc>
        <w:tc>
          <w:tcPr>
            <w:tcW w:w="560" w:type="pct"/>
            <w:tcBorders>
              <w:top w:val="single" w:color="000000" w:sz="4" w:space="0"/>
              <w:bottom w:val="single" w:color="000000" w:sz="4" w:space="0"/>
              <w:right w:val="single" w:color="000000" w:sz="4" w:space="0"/>
            </w:tcBorders>
            <w:vAlign w:val="center"/>
          </w:tcPr>
          <w:p w14:paraId="241748D4">
            <w:pPr>
              <w:autoSpaceDN w:val="0"/>
              <w:spacing w:line="44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履约经验</w:t>
            </w:r>
          </w:p>
          <w:p w14:paraId="41C769FC">
            <w:pPr>
              <w:autoSpaceDN w:val="0"/>
              <w:spacing w:line="44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353" w:type="pct"/>
            <w:tcBorders>
              <w:top w:val="single" w:color="000000" w:sz="4" w:space="0"/>
              <w:bottom w:val="single" w:color="000000" w:sz="4" w:space="0"/>
              <w:right w:val="single" w:color="000000" w:sz="4" w:space="0"/>
            </w:tcBorders>
            <w:vAlign w:val="center"/>
          </w:tcPr>
          <w:p w14:paraId="4E716D62">
            <w:pPr>
              <w:autoSpaceDN w:val="0"/>
              <w:spacing w:line="440" w:lineRule="exact"/>
              <w:jc w:val="center"/>
              <w:rPr>
                <w:rFonts w:hint="eastAsia" w:ascii="宋体" w:hAnsi="宋体" w:eastAsia="宋体" w:cs="宋体"/>
                <w:sz w:val="24"/>
                <w:szCs w:val="24"/>
              </w:rPr>
            </w:pPr>
            <w:r>
              <w:rPr>
                <w:rFonts w:hint="eastAsia" w:ascii="宋体" w:hAnsi="宋体" w:eastAsia="宋体" w:cs="宋体"/>
                <w:sz w:val="24"/>
                <w:szCs w:val="24"/>
                <w:lang w:val="en-US" w:eastAsia="zh-CN"/>
              </w:rPr>
              <w:t>8分</w:t>
            </w:r>
          </w:p>
        </w:tc>
        <w:tc>
          <w:tcPr>
            <w:tcW w:w="2687" w:type="pct"/>
            <w:tcBorders>
              <w:top w:val="single" w:color="000000" w:sz="4" w:space="0"/>
              <w:bottom w:val="single" w:color="000000" w:sz="4" w:space="0"/>
              <w:right w:val="single" w:color="000000" w:sz="4" w:space="0"/>
            </w:tcBorders>
          </w:tcPr>
          <w:p w14:paraId="0A97826D">
            <w:pPr>
              <w:numPr>
                <w:ilvl w:val="-1"/>
                <w:numId w:val="0"/>
              </w:numPr>
              <w:autoSpaceDN/>
              <w:spacing w:line="440" w:lineRule="exact"/>
              <w:jc w:val="left"/>
              <w:rPr>
                <w:rFonts w:hint="eastAsia" w:ascii="宋体" w:hAnsi="宋体" w:eastAsia="宋体" w:cs="宋体"/>
                <w:sz w:val="24"/>
                <w:szCs w:val="24"/>
              </w:rPr>
            </w:pPr>
            <w:r>
              <w:rPr>
                <w:rFonts w:ascii="宋体" w:hAnsi="宋体" w:eastAsia="宋体" w:cs="宋体"/>
                <w:sz w:val="24"/>
                <w:szCs w:val="24"/>
              </w:rPr>
              <w:t>投标人自 2021 年 1 月 1 日(含)以来，具有类似项目履约经验的，每提供一个得 2 分，最高得 8 分。注：提供合同复印件加盖公章，以合同签订时间为准。</w:t>
            </w:r>
          </w:p>
        </w:tc>
        <w:tc>
          <w:tcPr>
            <w:tcW w:w="1068" w:type="pct"/>
            <w:tcBorders>
              <w:top w:val="single" w:color="000000" w:sz="4" w:space="0"/>
              <w:bottom w:val="single" w:color="000000" w:sz="4" w:space="0"/>
              <w:right w:val="single" w:color="000000" w:sz="4" w:space="0"/>
            </w:tcBorders>
          </w:tcPr>
          <w:p w14:paraId="4B307783">
            <w:pPr>
              <w:autoSpaceDN w:val="0"/>
              <w:spacing w:line="440" w:lineRule="exact"/>
              <w:rPr>
                <w:rFonts w:hint="eastAsia" w:ascii="宋体" w:hAnsi="宋体" w:eastAsia="宋体" w:cs="宋体"/>
                <w:sz w:val="24"/>
                <w:szCs w:val="24"/>
              </w:rPr>
            </w:pPr>
          </w:p>
        </w:tc>
      </w:tr>
      <w:tr w14:paraId="7E6556D4">
        <w:tblPrEx>
          <w:tblCellMar>
            <w:top w:w="0" w:type="dxa"/>
            <w:left w:w="108" w:type="dxa"/>
            <w:bottom w:w="0" w:type="dxa"/>
            <w:right w:w="108" w:type="dxa"/>
          </w:tblCellMar>
        </w:tblPrEx>
        <w:trPr>
          <w:trHeight w:val="350" w:hRule="atLeas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7147FACB">
            <w:pPr>
              <w:autoSpaceDN w:val="0"/>
              <w:spacing w:line="440" w:lineRule="exact"/>
              <w:ind w:firstLine="235"/>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560" w:type="pct"/>
            <w:tcBorders>
              <w:top w:val="single" w:color="000000" w:sz="4" w:space="0"/>
              <w:bottom w:val="single" w:color="000000" w:sz="4" w:space="0"/>
              <w:right w:val="single" w:color="000000" w:sz="4" w:space="0"/>
            </w:tcBorders>
            <w:vAlign w:val="center"/>
          </w:tcPr>
          <w:p w14:paraId="04020A97">
            <w:pPr>
              <w:autoSpaceDN w:val="0"/>
              <w:spacing w:line="44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售后服务方案</w:t>
            </w:r>
          </w:p>
          <w:p w14:paraId="20177D2E">
            <w:pPr>
              <w:autoSpaceDN w:val="0"/>
              <w:spacing w:line="440" w:lineRule="exact"/>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18%</w:t>
            </w:r>
          </w:p>
        </w:tc>
        <w:tc>
          <w:tcPr>
            <w:tcW w:w="353" w:type="pct"/>
            <w:tcBorders>
              <w:top w:val="single" w:color="000000" w:sz="4" w:space="0"/>
              <w:bottom w:val="single" w:color="000000" w:sz="4" w:space="0"/>
              <w:right w:val="single" w:color="000000" w:sz="4" w:space="0"/>
            </w:tcBorders>
            <w:vAlign w:val="center"/>
          </w:tcPr>
          <w:p w14:paraId="3D1EA9B0">
            <w:pPr>
              <w:autoSpaceDN w:val="0"/>
              <w:spacing w:line="44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18分</w:t>
            </w:r>
          </w:p>
        </w:tc>
        <w:tc>
          <w:tcPr>
            <w:tcW w:w="2687" w:type="pct"/>
            <w:tcBorders>
              <w:top w:val="single" w:color="000000" w:sz="4" w:space="0"/>
              <w:bottom w:val="single" w:color="000000" w:sz="4" w:space="0"/>
              <w:right w:val="single" w:color="000000" w:sz="4" w:space="0"/>
            </w:tcBorders>
          </w:tcPr>
          <w:p w14:paraId="02CF8EA0">
            <w:pPr>
              <w:widowControl/>
              <w:autoSpaceDN/>
              <w:spacing w:line="4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rPr>
              <w:t>根据</w:t>
            </w:r>
            <w:r>
              <w:rPr>
                <w:rFonts w:hint="eastAsia" w:ascii="宋体" w:hAnsi="宋体" w:eastAsia="宋体" w:cs="宋体"/>
                <w:sz w:val="24"/>
                <w:szCs w:val="24"/>
                <w:lang w:eastAsia="zh-CN"/>
              </w:rPr>
              <w:t>投标人</w:t>
            </w:r>
            <w:r>
              <w:rPr>
                <w:rFonts w:hint="eastAsia" w:ascii="宋体" w:hAnsi="宋体" w:eastAsia="宋体" w:cs="宋体"/>
                <w:sz w:val="24"/>
                <w:szCs w:val="24"/>
              </w:rPr>
              <w:t>提供的售后服务方案进行评审，该方案应包含：①售后技术</w:t>
            </w:r>
            <w:r>
              <w:rPr>
                <w:rFonts w:hint="eastAsia" w:ascii="宋体" w:hAnsi="宋体" w:eastAsia="宋体" w:cs="宋体"/>
                <w:sz w:val="24"/>
                <w:szCs w:val="24"/>
                <w:lang w:val="en-US" w:eastAsia="zh-CN"/>
              </w:rPr>
              <w:t>负责人员及</w:t>
            </w:r>
            <w:r>
              <w:rPr>
                <w:rFonts w:hint="eastAsia" w:ascii="宋体" w:hAnsi="宋体" w:eastAsia="宋体" w:cs="宋体"/>
                <w:sz w:val="24"/>
                <w:szCs w:val="24"/>
              </w:rPr>
              <w:t>售后服务措施、②售后承诺及售后响应保障、③售后技术能力的可行性和真实性</w:t>
            </w:r>
            <w:r>
              <w:rPr>
                <w:rFonts w:hint="eastAsia" w:ascii="宋体" w:hAnsi="宋体" w:eastAsia="宋体" w:cs="宋体"/>
                <w:sz w:val="24"/>
                <w:szCs w:val="24"/>
                <w:lang w:eastAsia="zh-CN"/>
              </w:rPr>
              <w:t>。</w:t>
            </w:r>
            <w:r>
              <w:rPr>
                <w:rFonts w:hint="eastAsia" w:ascii="宋体" w:hAnsi="宋体" w:eastAsia="宋体" w:cs="宋体"/>
                <w:sz w:val="24"/>
                <w:szCs w:val="24"/>
              </w:rPr>
              <w:t>完整提供上述</w:t>
            </w:r>
            <w:r>
              <w:rPr>
                <w:rFonts w:hint="eastAsia" w:ascii="宋体" w:hAnsi="宋体" w:eastAsia="宋体" w:cs="宋体"/>
                <w:sz w:val="24"/>
                <w:szCs w:val="24"/>
                <w:lang w:val="en-US" w:eastAsia="zh-CN"/>
              </w:rPr>
              <w:t>3</w:t>
            </w:r>
            <w:r>
              <w:rPr>
                <w:rFonts w:hint="eastAsia" w:ascii="宋体" w:hAnsi="宋体" w:eastAsia="宋体" w:cs="宋体"/>
                <w:sz w:val="24"/>
                <w:szCs w:val="24"/>
              </w:rPr>
              <w:t>项内容的得</w:t>
            </w:r>
            <w:r>
              <w:rPr>
                <w:rFonts w:hint="eastAsia" w:ascii="宋体" w:hAnsi="宋体" w:eastAsia="宋体" w:cs="宋体"/>
                <w:sz w:val="24"/>
                <w:szCs w:val="24"/>
                <w:lang w:val="en-US" w:eastAsia="zh-CN"/>
              </w:rPr>
              <w:t>18</w:t>
            </w:r>
            <w:r>
              <w:rPr>
                <w:rFonts w:hint="eastAsia" w:ascii="宋体" w:hAnsi="宋体" w:eastAsia="宋体" w:cs="宋体"/>
                <w:sz w:val="24"/>
                <w:szCs w:val="24"/>
              </w:rPr>
              <w:t>分；每有一项未提供扣</w:t>
            </w:r>
            <w:r>
              <w:rPr>
                <w:rFonts w:hint="eastAsia" w:ascii="宋体" w:hAnsi="宋体" w:eastAsia="宋体" w:cs="宋体"/>
                <w:sz w:val="24"/>
                <w:szCs w:val="24"/>
                <w:lang w:val="en-US" w:eastAsia="zh-CN"/>
              </w:rPr>
              <w:t>6</w:t>
            </w:r>
            <w:r>
              <w:rPr>
                <w:rFonts w:hint="eastAsia" w:ascii="宋体" w:hAnsi="宋体" w:eastAsia="宋体" w:cs="宋体"/>
                <w:sz w:val="24"/>
                <w:szCs w:val="24"/>
              </w:rPr>
              <w:t>分，扣完为止；每有一处有缺陷扣</w:t>
            </w:r>
            <w:r>
              <w:rPr>
                <w:rFonts w:hint="eastAsia" w:ascii="宋体" w:hAnsi="宋体" w:eastAsia="宋体" w:cs="宋体"/>
                <w:sz w:val="24"/>
                <w:szCs w:val="24"/>
                <w:lang w:val="en-US" w:eastAsia="zh-CN"/>
              </w:rPr>
              <w:t>3</w:t>
            </w:r>
            <w:r>
              <w:rPr>
                <w:rFonts w:hint="eastAsia" w:ascii="宋体" w:hAnsi="宋体" w:eastAsia="宋体" w:cs="宋体"/>
                <w:sz w:val="24"/>
                <w:szCs w:val="24"/>
              </w:rPr>
              <w:t>分，扣完为止。</w:t>
            </w:r>
          </w:p>
        </w:tc>
        <w:tc>
          <w:tcPr>
            <w:tcW w:w="1068" w:type="pct"/>
            <w:tcBorders>
              <w:top w:val="single" w:color="000000" w:sz="4" w:space="0"/>
              <w:bottom w:val="single" w:color="000000" w:sz="4" w:space="0"/>
              <w:right w:val="single" w:color="000000" w:sz="4" w:space="0"/>
            </w:tcBorders>
          </w:tcPr>
          <w:p w14:paraId="7830E82C">
            <w:pPr>
              <w:autoSpaceDN w:val="0"/>
              <w:spacing w:line="440" w:lineRule="exact"/>
              <w:rPr>
                <w:rFonts w:hint="eastAsia" w:ascii="宋体" w:hAnsi="宋体" w:eastAsia="宋体" w:cs="宋体"/>
                <w:sz w:val="24"/>
                <w:szCs w:val="24"/>
              </w:rPr>
            </w:pPr>
          </w:p>
        </w:tc>
      </w:tr>
    </w:tbl>
    <w:p w14:paraId="00ED48C7">
      <w:pPr>
        <w:pStyle w:val="7"/>
        <w:rPr>
          <w:rFonts w:hint="default" w:ascii="Times New Roman" w:hAnsi="Times New Roman" w:cs="Times New Roman"/>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8E4F7A">
    <w:pPr>
      <w:pStyle w:val="12"/>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docPartObj>
                              <w:docPartGallery w:val="autotext"/>
                            </w:docPartObj>
                          </w:sdtPr>
                          <w:sdtContent>
                            <w:p w14:paraId="4B7F267D">
                              <w:pPr>
                                <w:pStyle w:val="12"/>
                                <w:jc w:val="right"/>
                              </w:pPr>
                              <w:r>
                                <w:fldChar w:fldCharType="begin"/>
                              </w:r>
                              <w:r>
                                <w:instrText xml:space="preserve"> PAGE   \* MERGEFORMAT </w:instrText>
                              </w:r>
                              <w:r>
                                <w:fldChar w:fldCharType="separate"/>
                              </w:r>
                              <w:r>
                                <w:rPr>
                                  <w:lang w:val="zh-CN"/>
                                </w:rPr>
                                <w:t>5</w:t>
                              </w:r>
                              <w:r>
                                <w:rPr>
                                  <w:lang w:val="zh-CN"/>
                                </w:rPr>
                                <w:fldChar w:fldCharType="end"/>
                              </w:r>
                            </w:p>
                          </w:sdtContent>
                        </w:sdt>
                        <w:p w14:paraId="3474EBF6">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23280452"/>
                      <w:docPartObj>
                        <w:docPartGallery w:val="autotext"/>
                      </w:docPartObj>
                    </w:sdtPr>
                    <w:sdtContent>
                      <w:p w14:paraId="4B7F267D">
                        <w:pPr>
                          <w:pStyle w:val="12"/>
                          <w:jc w:val="right"/>
                        </w:pPr>
                        <w:r>
                          <w:fldChar w:fldCharType="begin"/>
                        </w:r>
                        <w:r>
                          <w:instrText xml:space="preserve"> PAGE   \* MERGEFORMAT </w:instrText>
                        </w:r>
                        <w:r>
                          <w:fldChar w:fldCharType="separate"/>
                        </w:r>
                        <w:r>
                          <w:rPr>
                            <w:lang w:val="zh-CN"/>
                          </w:rPr>
                          <w:t>5</w:t>
                        </w:r>
                        <w:r>
                          <w:rPr>
                            <w:lang w:val="zh-CN"/>
                          </w:rPr>
                          <w:fldChar w:fldCharType="end"/>
                        </w:r>
                      </w:p>
                    </w:sdtContent>
                  </w:sdt>
                  <w:p w14:paraId="3474EBF6">
                    <w:pPr>
                      <w:pStyle w:val="2"/>
                    </w:pPr>
                  </w:p>
                </w:txbxContent>
              </v:textbox>
            </v:shape>
          </w:pict>
        </mc:Fallback>
      </mc:AlternateContent>
    </w:r>
  </w:p>
  <w:p w14:paraId="25A11BBD">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2B3464">
    <w:pPr>
      <w:pStyle w:val="1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964205"/>
    <w:multiLevelType w:val="singleLevel"/>
    <w:tmpl w:val="3596420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E22E45"/>
    <w:rsid w:val="00001C3B"/>
    <w:rsid w:val="000410A6"/>
    <w:rsid w:val="00050ED4"/>
    <w:rsid w:val="00051D2B"/>
    <w:rsid w:val="00074390"/>
    <w:rsid w:val="000D2646"/>
    <w:rsid w:val="00112B47"/>
    <w:rsid w:val="00113045"/>
    <w:rsid w:val="00192D51"/>
    <w:rsid w:val="001A7950"/>
    <w:rsid w:val="001B3AAF"/>
    <w:rsid w:val="0020468A"/>
    <w:rsid w:val="00213504"/>
    <w:rsid w:val="002408FC"/>
    <w:rsid w:val="002554A9"/>
    <w:rsid w:val="0025732E"/>
    <w:rsid w:val="00283F95"/>
    <w:rsid w:val="002907C5"/>
    <w:rsid w:val="002E2DA8"/>
    <w:rsid w:val="002E6E39"/>
    <w:rsid w:val="0031681B"/>
    <w:rsid w:val="003228B1"/>
    <w:rsid w:val="00347EC8"/>
    <w:rsid w:val="003A70FA"/>
    <w:rsid w:val="003C4A89"/>
    <w:rsid w:val="003E7865"/>
    <w:rsid w:val="003F606A"/>
    <w:rsid w:val="00403BD4"/>
    <w:rsid w:val="004228CC"/>
    <w:rsid w:val="00430CEE"/>
    <w:rsid w:val="0047555D"/>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56023"/>
    <w:rsid w:val="00A90013"/>
    <w:rsid w:val="00A91080"/>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0158D6"/>
    <w:rsid w:val="01EE0DCD"/>
    <w:rsid w:val="02554973"/>
    <w:rsid w:val="02616E54"/>
    <w:rsid w:val="029562D6"/>
    <w:rsid w:val="0382186E"/>
    <w:rsid w:val="061B1AB8"/>
    <w:rsid w:val="07CF5DE6"/>
    <w:rsid w:val="099019C9"/>
    <w:rsid w:val="0BEF4460"/>
    <w:rsid w:val="0DB40D5F"/>
    <w:rsid w:val="0DC61272"/>
    <w:rsid w:val="126354EB"/>
    <w:rsid w:val="12AA2431"/>
    <w:rsid w:val="160E6673"/>
    <w:rsid w:val="176A5B2B"/>
    <w:rsid w:val="17EE2139"/>
    <w:rsid w:val="18A244E4"/>
    <w:rsid w:val="1C330D1D"/>
    <w:rsid w:val="1C3B161D"/>
    <w:rsid w:val="1C985A0D"/>
    <w:rsid w:val="1F2931B0"/>
    <w:rsid w:val="1FAA15A2"/>
    <w:rsid w:val="21BA2442"/>
    <w:rsid w:val="21DE7774"/>
    <w:rsid w:val="231A6657"/>
    <w:rsid w:val="23CE6958"/>
    <w:rsid w:val="271F1EC6"/>
    <w:rsid w:val="2734580E"/>
    <w:rsid w:val="29B90F52"/>
    <w:rsid w:val="2B796EBE"/>
    <w:rsid w:val="2D54610A"/>
    <w:rsid w:val="2DB72565"/>
    <w:rsid w:val="2EF62284"/>
    <w:rsid w:val="30014A99"/>
    <w:rsid w:val="300817D1"/>
    <w:rsid w:val="30D71213"/>
    <w:rsid w:val="316F5DC0"/>
    <w:rsid w:val="332B5D3D"/>
    <w:rsid w:val="34F71B6C"/>
    <w:rsid w:val="35E36312"/>
    <w:rsid w:val="382179C7"/>
    <w:rsid w:val="38520016"/>
    <w:rsid w:val="38B769AF"/>
    <w:rsid w:val="39747600"/>
    <w:rsid w:val="3A2550DD"/>
    <w:rsid w:val="3A2F783B"/>
    <w:rsid w:val="3A745C5C"/>
    <w:rsid w:val="3B116B04"/>
    <w:rsid w:val="3B481C54"/>
    <w:rsid w:val="3CC66AB0"/>
    <w:rsid w:val="3D4F4F00"/>
    <w:rsid w:val="3D5529A7"/>
    <w:rsid w:val="3DBC3894"/>
    <w:rsid w:val="3DBE5F72"/>
    <w:rsid w:val="3E960D7F"/>
    <w:rsid w:val="3FAF737C"/>
    <w:rsid w:val="420266F3"/>
    <w:rsid w:val="421502BE"/>
    <w:rsid w:val="424F5000"/>
    <w:rsid w:val="4288362A"/>
    <w:rsid w:val="43CF26EE"/>
    <w:rsid w:val="444A5147"/>
    <w:rsid w:val="44A27E03"/>
    <w:rsid w:val="44A92D67"/>
    <w:rsid w:val="454B07EC"/>
    <w:rsid w:val="45D73970"/>
    <w:rsid w:val="4962387D"/>
    <w:rsid w:val="49751503"/>
    <w:rsid w:val="4AAC43F0"/>
    <w:rsid w:val="4BA8188C"/>
    <w:rsid w:val="4BBE6CC9"/>
    <w:rsid w:val="5074152A"/>
    <w:rsid w:val="51607810"/>
    <w:rsid w:val="56562FBB"/>
    <w:rsid w:val="568A6CE1"/>
    <w:rsid w:val="574216FD"/>
    <w:rsid w:val="57A81AFA"/>
    <w:rsid w:val="57CC719B"/>
    <w:rsid w:val="5919648E"/>
    <w:rsid w:val="59FF2CE9"/>
    <w:rsid w:val="5A00477A"/>
    <w:rsid w:val="5BDD00ED"/>
    <w:rsid w:val="5C0827EA"/>
    <w:rsid w:val="5CD77044"/>
    <w:rsid w:val="5D675648"/>
    <w:rsid w:val="5E9952E6"/>
    <w:rsid w:val="619F058F"/>
    <w:rsid w:val="627D77E8"/>
    <w:rsid w:val="6333473F"/>
    <w:rsid w:val="639D5445"/>
    <w:rsid w:val="643B2E62"/>
    <w:rsid w:val="6A7A7481"/>
    <w:rsid w:val="6BDF3567"/>
    <w:rsid w:val="6E284351"/>
    <w:rsid w:val="720F7FD6"/>
    <w:rsid w:val="730F4A91"/>
    <w:rsid w:val="733155CB"/>
    <w:rsid w:val="73F41F8C"/>
    <w:rsid w:val="74324BCE"/>
    <w:rsid w:val="753C7334"/>
    <w:rsid w:val="75F029D1"/>
    <w:rsid w:val="768947FB"/>
    <w:rsid w:val="77D00208"/>
    <w:rsid w:val="79C142AC"/>
    <w:rsid w:val="7B187EFC"/>
    <w:rsid w:val="7CC50351"/>
    <w:rsid w:val="7CD622C1"/>
    <w:rsid w:val="7F5D6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5"/>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Cambria" w:hAnsi="Cambria" w:cs="Times New Roman"/>
      <w:b/>
      <w:bCs/>
      <w:sz w:val="32"/>
      <w:szCs w:val="32"/>
    </w:rPr>
  </w:style>
  <w:style w:type="paragraph" w:styleId="5">
    <w:name w:val="Normal Indent"/>
    <w:basedOn w:val="1"/>
    <w:qFormat/>
    <w:uiPriority w:val="0"/>
    <w:pPr>
      <w:ind w:firstLine="200" w:firstLineChars="200"/>
    </w:pPr>
  </w:style>
  <w:style w:type="paragraph" w:styleId="6">
    <w:name w:val="annotation text"/>
    <w:basedOn w:val="1"/>
    <w:semiHidden/>
    <w:unhideWhenUsed/>
    <w:qFormat/>
    <w:uiPriority w:val="99"/>
    <w:pPr>
      <w:jc w:val="left"/>
    </w:pPr>
  </w:style>
  <w:style w:type="paragraph" w:styleId="7">
    <w:name w:val="Body Text"/>
    <w:basedOn w:val="1"/>
    <w:next w:val="1"/>
    <w:semiHidden/>
    <w:unhideWhenUsed/>
    <w:qFormat/>
    <w:uiPriority w:val="0"/>
    <w:pPr>
      <w:spacing w:after="120"/>
    </w:pPr>
  </w:style>
  <w:style w:type="paragraph" w:styleId="8">
    <w:name w:val="Plain Text"/>
    <w:basedOn w:val="1"/>
    <w:qFormat/>
    <w:uiPriority w:val="0"/>
    <w:pPr>
      <w:autoSpaceDE w:val="0"/>
      <w:autoSpaceDN w:val="0"/>
      <w:adjustRightInd w:val="0"/>
    </w:pPr>
    <w:rPr>
      <w:rFonts w:ascii="宋体" w:hAnsi="Tms Rmn" w:cs="宋体"/>
      <w:szCs w:val="22"/>
    </w:rPr>
  </w:style>
  <w:style w:type="paragraph" w:styleId="9">
    <w:name w:val="Date"/>
    <w:basedOn w:val="1"/>
    <w:next w:val="1"/>
    <w:link w:val="28"/>
    <w:semiHidden/>
    <w:unhideWhenUsed/>
    <w:qFormat/>
    <w:uiPriority w:val="99"/>
    <w:pPr>
      <w:ind w:left="100" w:leftChars="2500"/>
    </w:pPr>
  </w:style>
  <w:style w:type="paragraph" w:styleId="10">
    <w:name w:val="endnote text"/>
    <w:basedOn w:val="1"/>
    <w:qFormat/>
    <w:uiPriority w:val="0"/>
    <w:pPr>
      <w:snapToGrid w:val="0"/>
      <w:jc w:val="left"/>
    </w:pPr>
  </w:style>
  <w:style w:type="paragraph" w:styleId="11">
    <w:name w:val="Balloon Text"/>
    <w:basedOn w:val="1"/>
    <w:link w:val="29"/>
    <w:semiHidden/>
    <w:unhideWhenUsed/>
    <w:qFormat/>
    <w:uiPriority w:val="99"/>
    <w:rPr>
      <w:sz w:val="18"/>
      <w:szCs w:val="18"/>
    </w:rPr>
  </w:style>
  <w:style w:type="paragraph" w:styleId="12">
    <w:name w:val="footer"/>
    <w:basedOn w:val="1"/>
    <w:link w:val="23"/>
    <w:unhideWhenUsed/>
    <w:qFormat/>
    <w:uiPriority w:val="99"/>
    <w:pPr>
      <w:tabs>
        <w:tab w:val="center" w:pos="4153"/>
        <w:tab w:val="right" w:pos="8306"/>
      </w:tabs>
      <w:snapToGrid w:val="0"/>
      <w:jc w:val="left"/>
    </w:pPr>
    <w:rPr>
      <w:sz w:val="18"/>
      <w:szCs w:val="18"/>
    </w:rPr>
  </w:style>
  <w:style w:type="paragraph" w:styleId="13">
    <w:name w:val="header"/>
    <w:basedOn w:val="1"/>
    <w:next w:val="7"/>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7">
    <w:name w:val="Table Grid"/>
    <w:basedOn w:val="1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paragraph" w:customStyle="1" w:styleId="2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2">
    <w:name w:val="页眉 Char"/>
    <w:basedOn w:val="18"/>
    <w:link w:val="13"/>
    <w:qFormat/>
    <w:uiPriority w:val="99"/>
    <w:rPr>
      <w:sz w:val="18"/>
      <w:szCs w:val="18"/>
    </w:rPr>
  </w:style>
  <w:style w:type="character" w:customStyle="1" w:styleId="23">
    <w:name w:val="页脚 Char"/>
    <w:basedOn w:val="18"/>
    <w:link w:val="12"/>
    <w:qFormat/>
    <w:uiPriority w:val="99"/>
    <w:rPr>
      <w:sz w:val="18"/>
      <w:szCs w:val="18"/>
    </w:rPr>
  </w:style>
  <w:style w:type="paragraph" w:styleId="24">
    <w:name w:val="List Paragraph"/>
    <w:basedOn w:val="1"/>
    <w:qFormat/>
    <w:uiPriority w:val="34"/>
    <w:pPr>
      <w:ind w:firstLine="420" w:firstLineChars="200"/>
    </w:pPr>
  </w:style>
  <w:style w:type="character" w:customStyle="1" w:styleId="25">
    <w:name w:val="标题 2 Char"/>
    <w:basedOn w:val="18"/>
    <w:link w:val="4"/>
    <w:qFormat/>
    <w:uiPriority w:val="9"/>
    <w:rPr>
      <w:rFonts w:ascii="Arial" w:hAnsi="Arial" w:eastAsia="黑体" w:cs="Times New Roman"/>
      <w:b/>
      <w:bCs/>
      <w:sz w:val="32"/>
      <w:szCs w:val="32"/>
    </w:rPr>
  </w:style>
  <w:style w:type="character" w:customStyle="1" w:styleId="26">
    <w:name w:val="列出段落 Char"/>
    <w:link w:val="27"/>
    <w:qFormat/>
    <w:uiPriority w:val="34"/>
    <w:rPr>
      <w:rFonts w:ascii="宋体" w:hAnsi="宋体" w:cs="宋体"/>
      <w:sz w:val="24"/>
      <w:szCs w:val="24"/>
    </w:rPr>
  </w:style>
  <w:style w:type="paragraph" w:customStyle="1" w:styleId="27">
    <w:name w:val="列出段落1"/>
    <w:basedOn w:val="1"/>
    <w:link w:val="26"/>
    <w:qFormat/>
    <w:uiPriority w:val="34"/>
    <w:pPr>
      <w:widowControl/>
      <w:ind w:firstLine="420" w:firstLineChars="200"/>
      <w:jc w:val="left"/>
    </w:pPr>
    <w:rPr>
      <w:rFonts w:ascii="宋体" w:hAnsi="宋体" w:cs="宋体"/>
      <w:sz w:val="24"/>
      <w:szCs w:val="24"/>
    </w:rPr>
  </w:style>
  <w:style w:type="character" w:customStyle="1" w:styleId="28">
    <w:name w:val="日期 Char"/>
    <w:basedOn w:val="18"/>
    <w:link w:val="9"/>
    <w:semiHidden/>
    <w:qFormat/>
    <w:uiPriority w:val="99"/>
  </w:style>
  <w:style w:type="character" w:customStyle="1" w:styleId="29">
    <w:name w:val="批注框文本 Char"/>
    <w:basedOn w:val="18"/>
    <w:link w:val="11"/>
    <w:semiHidden/>
    <w:qFormat/>
    <w:uiPriority w:val="99"/>
    <w:rPr>
      <w:sz w:val="18"/>
      <w:szCs w:val="18"/>
    </w:rPr>
  </w:style>
  <w:style w:type="character" w:customStyle="1" w:styleId="30">
    <w:name w:val="font01"/>
    <w:basedOn w:val="18"/>
    <w:qFormat/>
    <w:uiPriority w:val="0"/>
    <w:rPr>
      <w:rFonts w:hint="eastAsia" w:ascii="宋体" w:hAnsi="宋体" w:eastAsia="宋体" w:cs="宋体"/>
      <w:color w:val="000000"/>
      <w:sz w:val="22"/>
      <w:szCs w:val="22"/>
      <w:u w:val="none"/>
    </w:rPr>
  </w:style>
  <w:style w:type="paragraph" w:customStyle="1" w:styleId="31">
    <w:name w:val="正文首行缩进两字符"/>
    <w:basedOn w:val="1"/>
    <w:qFormat/>
    <w:uiPriority w:val="0"/>
    <w:pPr>
      <w:spacing w:line="360" w:lineRule="auto"/>
      <w:ind w:firstLine="200" w:firstLineChars="200"/>
    </w:pPr>
  </w:style>
  <w:style w:type="paragraph" w:customStyle="1" w:styleId="32">
    <w:name w:val="Table Paragraph"/>
    <w:basedOn w:val="1"/>
    <w:qFormat/>
    <w:uiPriority w:val="1"/>
    <w:rPr>
      <w:rFonts w:ascii="宋体" w:hAnsi="宋体" w:eastAsia="宋体" w:cs="宋体"/>
      <w:lang w:val="zh-CN" w:eastAsia="zh-CN" w:bidi="zh-CN"/>
    </w:rPr>
  </w:style>
  <w:style w:type="paragraph" w:customStyle="1" w:styleId="33">
    <w:name w:val="小四正文"/>
    <w:basedOn w:val="1"/>
    <w:next w:val="1"/>
    <w:qFormat/>
    <w:locked/>
    <w:uiPriority w:val="0"/>
    <w:pPr>
      <w:spacing w:line="360" w:lineRule="auto"/>
      <w:ind w:firstLine="200" w:firstLineChars="200"/>
    </w:pPr>
    <w:rPr>
      <w:rFonts w:ascii="Calibri" w:hAnsi="Calibri"/>
      <w:sz w:val="24"/>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3216</Words>
  <Characters>3451</Characters>
  <Lines>14</Lines>
  <Paragraphs>4</Paragraphs>
  <TotalTime>30</TotalTime>
  <ScaleCrop>false</ScaleCrop>
  <LinksUpToDate>false</LinksUpToDate>
  <CharactersWithSpaces>3526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cs</cp:lastModifiedBy>
  <cp:lastPrinted>2024-12-09T09:44:00Z</cp:lastPrinted>
  <dcterms:modified xsi:type="dcterms:W3CDTF">2024-12-10T08:46:35Z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3A862DE1718140559898297CFD5BBE71_13</vt:lpwstr>
  </property>
</Properties>
</file>