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568B43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3284106B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4"/>
        <w:tblW w:w="93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27"/>
        <w:gridCol w:w="561"/>
        <w:gridCol w:w="5323"/>
        <w:gridCol w:w="1410"/>
      </w:tblGrid>
      <w:tr w14:paraId="4EB3B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17B0FE2F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27" w:type="dxa"/>
            <w:noWrap w:val="0"/>
            <w:vAlign w:val="center"/>
          </w:tcPr>
          <w:p w14:paraId="6C81595C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评分因素</w:t>
            </w:r>
          </w:p>
          <w:p w14:paraId="0B02C73D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及权重</w:t>
            </w:r>
          </w:p>
        </w:tc>
        <w:tc>
          <w:tcPr>
            <w:tcW w:w="561" w:type="dxa"/>
            <w:noWrap w:val="0"/>
            <w:vAlign w:val="center"/>
          </w:tcPr>
          <w:p w14:paraId="12685472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分　值</w:t>
            </w:r>
          </w:p>
        </w:tc>
        <w:tc>
          <w:tcPr>
            <w:tcW w:w="5323" w:type="dxa"/>
            <w:noWrap w:val="0"/>
            <w:vAlign w:val="center"/>
          </w:tcPr>
          <w:p w14:paraId="40635B19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  <w:tc>
          <w:tcPr>
            <w:tcW w:w="1410" w:type="dxa"/>
            <w:noWrap w:val="0"/>
            <w:vAlign w:val="center"/>
          </w:tcPr>
          <w:p w14:paraId="2BC26D0E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58CE7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596" w:type="dxa"/>
            <w:noWrap w:val="0"/>
            <w:vAlign w:val="center"/>
          </w:tcPr>
          <w:p w14:paraId="3AF9E63E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27" w:type="dxa"/>
            <w:noWrap w:val="0"/>
            <w:vAlign w:val="center"/>
          </w:tcPr>
          <w:p w14:paraId="18F3F075">
            <w:pPr>
              <w:widowControl/>
              <w:ind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报价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%)</w:t>
            </w:r>
          </w:p>
        </w:tc>
        <w:tc>
          <w:tcPr>
            <w:tcW w:w="561" w:type="dxa"/>
            <w:noWrap w:val="0"/>
            <w:vAlign w:val="center"/>
          </w:tcPr>
          <w:p w14:paraId="7666F42A">
            <w:pPr>
              <w:widowControl/>
              <w:ind w:firstLine="0" w:firstLineChars="0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27D71794">
            <w:pPr>
              <w:widowControl/>
              <w:spacing w:before="0" w:line="276" w:lineRule="auto"/>
              <w:ind w:left="0" w:right="0" w:firstLine="0"/>
              <w:jc w:val="left"/>
              <w:rPr>
                <w:rFonts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ascii="Times New Roman" w:hAnsi="Times New Roman" w:eastAsia="方正仿宋_GBK" w:cs="Times New Roman"/>
                <w:spacing w:val="0"/>
                <w:sz w:val="21"/>
                <w:szCs w:val="21"/>
              </w:rPr>
              <w:t>以本次有效的最低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报价为基准价，报价得分=(</w:t>
            </w:r>
            <w:r>
              <w:rPr>
                <w:rFonts w:ascii="Times New Roman" w:hAnsi="Times New Roman" w:eastAsia="方正仿宋_GBK" w:cs="Times New Roman"/>
                <w:spacing w:val="0"/>
                <w:sz w:val="21"/>
                <w:szCs w:val="21"/>
              </w:rPr>
              <w:t>基准价／最后报价)×</w:t>
            </w:r>
            <w:r>
              <w:rPr>
                <w:rFonts w:hint="eastAsia" w:ascii="Times New Roman" w:hAnsi="Times New Roman" w:eastAsia="方正仿宋_GBK" w:cs="Times New Roman"/>
                <w:spacing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ascii="Times New Roman" w:hAnsi="Times New Roman" w:eastAsia="方正仿宋_GBK" w:cs="Times New Roman"/>
                <w:spacing w:val="0"/>
                <w:sz w:val="21"/>
                <w:szCs w:val="21"/>
              </w:rPr>
              <w:t>×100%。</w:t>
            </w:r>
          </w:p>
          <w:p w14:paraId="4CC97715">
            <w:pPr>
              <w:widowControl/>
              <w:spacing w:line="276" w:lineRule="auto"/>
              <w:ind w:firstLine="420" w:firstLineChars="0"/>
              <w:jc w:val="left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注：投标人的报价明显低于其他通过符合性审查投标人的报价，有可能影响产品质量或者不能诚信履约的，应当要求其在评标现场合理的时间内提供书面说明，必要时提交相关材料投标人不能证明其报价合理性的，评标委员会应当将其作为无效投标处理。</w:t>
            </w:r>
          </w:p>
        </w:tc>
        <w:tc>
          <w:tcPr>
            <w:tcW w:w="1410" w:type="dxa"/>
            <w:noWrap w:val="0"/>
            <w:vAlign w:val="center"/>
          </w:tcPr>
          <w:p w14:paraId="0B4A4D1B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316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15FA82A6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27" w:type="dxa"/>
            <w:noWrap w:val="0"/>
            <w:vAlign w:val="center"/>
          </w:tcPr>
          <w:p w14:paraId="143D76D4">
            <w:pPr>
              <w:spacing w:line="264" w:lineRule="auto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设计方案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0%）</w:t>
            </w:r>
          </w:p>
          <w:p w14:paraId="382CCCD3">
            <w:pPr>
              <w:spacing w:line="264" w:lineRule="auto"/>
              <w:ind w:firstLine="42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1" w:type="dxa"/>
            <w:noWrap w:val="0"/>
            <w:vAlign w:val="center"/>
          </w:tcPr>
          <w:p w14:paraId="7401D6A8">
            <w:pPr>
              <w:widowControl/>
              <w:ind w:firstLine="0" w:firstLineChars="0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0分</w:t>
            </w:r>
          </w:p>
        </w:tc>
        <w:tc>
          <w:tcPr>
            <w:tcW w:w="5323" w:type="dxa"/>
            <w:noWrap w:val="0"/>
            <w:vAlign w:val="center"/>
          </w:tcPr>
          <w:p w14:paraId="2E8B0C44">
            <w:pPr>
              <w:widowControl/>
              <w:ind w:firstLine="0"/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根据设计方案进行评价。</w:t>
            </w:r>
          </w:p>
          <w:p w14:paraId="7B5C81ED">
            <w:pPr>
              <w:widowControl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①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设计理念、方案齐全；能全面体现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医院儿童友好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理念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设计合理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结合医院IP形象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；具有很强的可实施性的得4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分。</w:t>
            </w:r>
          </w:p>
          <w:p w14:paraId="76E105F4">
            <w:pPr>
              <w:widowControl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②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设计理念、方案齐全；设计一般；具有可实施性的得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-40分；</w:t>
            </w:r>
          </w:p>
          <w:p w14:paraId="3755B91A">
            <w:pPr>
              <w:widowControl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③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设计方案不齐全、不能体现理念、设计合理实施性一般得0-2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分；</w:t>
            </w:r>
          </w:p>
          <w:p w14:paraId="101CD814">
            <w:pPr>
              <w:widowControl/>
              <w:ind w:firstLine="0" w:firstLineChars="0"/>
              <w:jc w:val="left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④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不提供0分。</w:t>
            </w:r>
          </w:p>
        </w:tc>
        <w:tc>
          <w:tcPr>
            <w:tcW w:w="1410" w:type="dxa"/>
            <w:noWrap w:val="0"/>
            <w:vAlign w:val="center"/>
          </w:tcPr>
          <w:p w14:paraId="0531463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262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2249CF7F">
            <w:pPr>
              <w:spacing w:line="360" w:lineRule="auto"/>
              <w:ind w:firstLine="28"/>
              <w:jc w:val="center"/>
              <w:rPr>
                <w:rFonts w:hint="default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27" w:type="dxa"/>
            <w:noWrap w:val="0"/>
            <w:vAlign w:val="center"/>
          </w:tcPr>
          <w:p w14:paraId="675BEF55"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项目实施方案（21%）</w:t>
            </w:r>
          </w:p>
        </w:tc>
        <w:tc>
          <w:tcPr>
            <w:tcW w:w="561" w:type="dxa"/>
            <w:noWrap w:val="0"/>
            <w:vAlign w:val="center"/>
          </w:tcPr>
          <w:p w14:paraId="35A2BD16">
            <w:pPr>
              <w:widowControl/>
              <w:ind w:firstLine="0" w:firstLineChars="0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5323" w:type="dxa"/>
            <w:noWrap w:val="0"/>
            <w:vAlign w:val="center"/>
          </w:tcPr>
          <w:p w14:paraId="736E79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根据供应商提供的项目实施方案进行评审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该方案应包含：①项目实施计划、②具体实施内容、③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质量保障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方案、④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运行维护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方案、⑤应急故障处理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方案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⑥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安全保护措施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⑦进度保障方案。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完整提供上述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项内容的得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分；每有一项未提供扣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分，扣完为止；每有一处有缺陷扣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  <w:p w14:paraId="712E74B3">
            <w:pPr>
              <w:spacing w:after="78" w:afterLines="25"/>
              <w:ind w:firstLine="0" w:firstLineChars="0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1410" w:type="dxa"/>
            <w:noWrap w:val="0"/>
            <w:vAlign w:val="center"/>
          </w:tcPr>
          <w:p w14:paraId="3CB517C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2B7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68D1D9DD">
            <w:pPr>
              <w:spacing w:line="360" w:lineRule="auto"/>
              <w:ind w:firstLine="28"/>
              <w:jc w:val="center"/>
              <w:rPr>
                <w:rFonts w:hint="default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27" w:type="dxa"/>
            <w:noWrap w:val="0"/>
            <w:vAlign w:val="center"/>
          </w:tcPr>
          <w:p w14:paraId="1D14A828"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履约能力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（9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%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61" w:type="dxa"/>
            <w:noWrap w:val="0"/>
            <w:vAlign w:val="center"/>
          </w:tcPr>
          <w:p w14:paraId="27612DD1">
            <w:pPr>
              <w:widowControl/>
              <w:ind w:firstLine="0" w:firstLineChars="0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169F29BE">
            <w:pPr>
              <w:spacing w:after="78" w:afterLines="25"/>
              <w:ind w:firstLine="0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供应商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提供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年至今类似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相关业绩证明，每提供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份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得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1.5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分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zh-TW"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最高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得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分。</w:t>
            </w:r>
          </w:p>
          <w:p w14:paraId="7E029036">
            <w:pPr>
              <w:spacing w:after="78" w:afterLines="25"/>
              <w:ind w:firstLine="0" w:firstLineChars="0"/>
              <w:textAlignment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注：提供中标通知书、合同复印件加盖供应商公章。</w:t>
            </w:r>
          </w:p>
        </w:tc>
        <w:tc>
          <w:tcPr>
            <w:tcW w:w="1410" w:type="dxa"/>
            <w:noWrap w:val="0"/>
            <w:vAlign w:val="center"/>
          </w:tcPr>
          <w:p w14:paraId="0A71F29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CD514C9">
      <w:pPr>
        <w:pStyle w:val="3"/>
        <w:jc w:val="center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BACBF72">
      <w:pPr>
        <w:pStyle w:val="3"/>
        <w:jc w:val="center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AF195A8">
      <w:pPr>
        <w:pStyle w:val="3"/>
        <w:jc w:val="center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594DFE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122CF26-DC82-4357-8CA2-C4988C69D6E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35E05C92-4199-43DF-B537-AC4D2977D405}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BDE65FDF-EE53-49F4-820F-237E57A7B89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20023F"/>
    <w:rsid w:val="34200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2024-12-19T09:25:00Z</dcterms:created>
  <dc:creator>邱玥</dc:creator>
  <cp:lastModifiedBy>邱玥</cp:lastModifiedBy>
  <dcterms:modified xsi:type="dcterms:W3CDTF">2024-12-19T09:25:55Z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42802865379C417A9D6BF094E16BEC1E_11</vt:lpwstr>
  </property>
</Properties>
</file>