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0443AA6">
      <w:pPr>
        <w:jc w:val="left"/>
        <w:rPr>
          <w:rFonts w:hint="eastAsia" w:ascii="华文中宋" w:hAnsi="华文中宋" w:eastAsia="华文中宋"/>
          <w:b/>
          <w:color w:val="000000" w:themeColor="text1"/>
          <w:sz w:val="32"/>
          <w:szCs w:val="22"/>
          <w14:textFill>
            <w14:solidFill>
              <w14:schemeClr w14:val="tx1"/>
            </w14:solidFill>
          </w14:textFill>
        </w:rPr>
      </w:pPr>
      <w:bookmarkStart w:id="0" w:name="_GoBack"/>
      <w:r>
        <w:rPr>
          <w:rFonts w:hint="eastAsia" w:ascii="华文中宋" w:hAnsi="华文中宋" w:eastAsia="华文中宋"/>
          <w:b/>
          <w:color w:val="000000" w:themeColor="text1"/>
          <w:sz w:val="32"/>
          <w:lang w:val="en-US" w:eastAsia="zh-CN"/>
          <w14:textFill>
            <w14:solidFill>
              <w14:schemeClr w14:val="tx1"/>
            </w14:solidFill>
          </w14:textFill>
        </w:rPr>
        <w:t>附件三：</w:t>
      </w:r>
      <w:r>
        <w:rPr>
          <w:rFonts w:hint="eastAsia" w:ascii="华文中宋" w:hAnsi="华文中宋" w:eastAsia="华文中宋"/>
          <w:b/>
          <w:color w:val="000000" w:themeColor="text1"/>
          <w:sz w:val="32"/>
          <w:szCs w:val="22"/>
          <w14:textFill>
            <w14:solidFill>
              <w14:schemeClr w14:val="tx1"/>
            </w14:solidFill>
          </w14:textFill>
        </w:rPr>
        <w:t>综合评分明细表</w:t>
      </w:r>
    </w:p>
    <w:bookmarkEnd w:id="0"/>
    <w:tbl>
      <w:tblPr>
        <w:tblStyle w:val="2"/>
        <w:tblpPr w:leftFromText="180" w:rightFromText="180" w:vertAnchor="text" w:horzAnchor="page" w:tblpX="510" w:tblpY="204"/>
        <w:tblOverlap w:val="never"/>
        <w:tblW w:w="5164"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1"/>
        <w:gridCol w:w="1392"/>
        <w:gridCol w:w="595"/>
        <w:gridCol w:w="7323"/>
        <w:gridCol w:w="913"/>
      </w:tblGrid>
      <w:tr w14:paraId="7AA527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8" w:hRule="atLeast"/>
        </w:trPr>
        <w:tc>
          <w:tcPr>
            <w:tcW w:w="251" w:type="pct"/>
            <w:noWrap w:val="0"/>
            <w:vAlign w:val="center"/>
          </w:tcPr>
          <w:p w14:paraId="64EC952E">
            <w:pPr>
              <w:jc w:val="both"/>
              <w:rPr>
                <w:rFonts w:hint="default" w:ascii="Times New Roman" w:hAnsi="Times New Roman" w:eastAsia="宋体" w:cs="Times New Roman"/>
                <w:b/>
                <w:bCs/>
                <w:color w:val="auto"/>
                <w:kern w:val="0"/>
                <w:szCs w:val="21"/>
                <w:highlight w:val="none"/>
                <w:lang w:eastAsia="zh-CN"/>
              </w:rPr>
            </w:pPr>
            <w:r>
              <w:rPr>
                <w:rFonts w:hint="default" w:ascii="Times New Roman" w:hAnsi="Times New Roman" w:eastAsia="仿宋" w:cs="Times New Roman"/>
                <w:b/>
                <w:bCs/>
                <w:snapToGrid/>
                <w:color w:val="000000"/>
                <w:sz w:val="22"/>
                <w:szCs w:val="22"/>
                <w:highlight w:val="none"/>
                <w:lang w:val="en-US" w:eastAsia="zh-CN"/>
              </w:rPr>
              <w:t>序号</w:t>
            </w:r>
          </w:p>
        </w:tc>
        <w:tc>
          <w:tcPr>
            <w:tcW w:w="646" w:type="pct"/>
            <w:tcBorders>
              <w:left w:val="nil"/>
            </w:tcBorders>
            <w:noWrap w:val="0"/>
            <w:vAlign w:val="center"/>
          </w:tcPr>
          <w:p w14:paraId="19498DB3">
            <w:pPr>
              <w:jc w:val="center"/>
              <w:rPr>
                <w:rFonts w:hint="default" w:ascii="Times New Roman" w:hAnsi="Times New Roman" w:eastAsia="仿宋" w:cs="Times New Roman"/>
                <w:b/>
                <w:bCs/>
                <w:color w:val="auto"/>
                <w:kern w:val="0"/>
                <w:sz w:val="22"/>
                <w:szCs w:val="22"/>
                <w:highlight w:val="none"/>
                <w:lang w:val="en-US" w:eastAsia="zh-CN"/>
              </w:rPr>
            </w:pPr>
            <w:r>
              <w:rPr>
                <w:rFonts w:hint="default" w:ascii="Times New Roman" w:hAnsi="Times New Roman" w:eastAsia="仿宋" w:cs="Times New Roman"/>
                <w:b/>
                <w:bCs/>
                <w:color w:val="auto"/>
                <w:kern w:val="0"/>
                <w:sz w:val="22"/>
                <w:szCs w:val="22"/>
                <w:highlight w:val="none"/>
              </w:rPr>
              <w:t>评分因素</w:t>
            </w:r>
            <w:r>
              <w:rPr>
                <w:rFonts w:hint="default" w:ascii="Times New Roman" w:hAnsi="Times New Roman" w:eastAsia="仿宋" w:cs="Times New Roman"/>
                <w:b/>
                <w:bCs/>
                <w:color w:val="auto"/>
                <w:kern w:val="0"/>
                <w:sz w:val="22"/>
                <w:szCs w:val="22"/>
                <w:highlight w:val="none"/>
                <w:lang w:val="en-US" w:eastAsia="zh-CN"/>
              </w:rPr>
              <w:t>及权重</w:t>
            </w:r>
          </w:p>
        </w:tc>
        <w:tc>
          <w:tcPr>
            <w:tcW w:w="276" w:type="pct"/>
            <w:tcBorders>
              <w:left w:val="nil"/>
            </w:tcBorders>
            <w:noWrap w:val="0"/>
            <w:vAlign w:val="center"/>
          </w:tcPr>
          <w:p w14:paraId="24FD9A8E">
            <w:pPr>
              <w:jc w:val="center"/>
              <w:rPr>
                <w:rFonts w:hint="default" w:ascii="Times New Roman" w:hAnsi="Times New Roman" w:eastAsia="仿宋" w:cs="Times New Roman"/>
                <w:b/>
                <w:bCs/>
                <w:color w:val="auto"/>
                <w:kern w:val="0"/>
                <w:sz w:val="22"/>
                <w:szCs w:val="22"/>
                <w:highlight w:val="none"/>
              </w:rPr>
            </w:pPr>
            <w:r>
              <w:rPr>
                <w:rFonts w:hint="default" w:ascii="Times New Roman" w:hAnsi="Times New Roman" w:eastAsia="仿宋" w:cs="Times New Roman"/>
                <w:b/>
                <w:bCs/>
                <w:color w:val="auto"/>
                <w:kern w:val="0"/>
                <w:sz w:val="22"/>
                <w:szCs w:val="22"/>
                <w:highlight w:val="none"/>
              </w:rPr>
              <w:t>分值</w:t>
            </w:r>
          </w:p>
        </w:tc>
        <w:tc>
          <w:tcPr>
            <w:tcW w:w="3400" w:type="pct"/>
            <w:tcBorders>
              <w:left w:val="nil"/>
            </w:tcBorders>
            <w:noWrap w:val="0"/>
            <w:vAlign w:val="center"/>
          </w:tcPr>
          <w:p w14:paraId="5B76F690">
            <w:pPr>
              <w:jc w:val="center"/>
              <w:rPr>
                <w:rFonts w:hint="default" w:ascii="Times New Roman" w:hAnsi="Times New Roman" w:eastAsia="仿宋" w:cs="Times New Roman"/>
                <w:b/>
                <w:bCs/>
                <w:color w:val="auto"/>
                <w:kern w:val="0"/>
                <w:sz w:val="22"/>
                <w:szCs w:val="22"/>
                <w:highlight w:val="none"/>
              </w:rPr>
            </w:pPr>
            <w:r>
              <w:rPr>
                <w:rFonts w:hint="default" w:ascii="Times New Roman" w:hAnsi="Times New Roman" w:eastAsia="仿宋" w:cs="Times New Roman"/>
                <w:b/>
                <w:bCs/>
                <w:color w:val="auto"/>
                <w:kern w:val="0"/>
                <w:sz w:val="22"/>
                <w:szCs w:val="22"/>
                <w:highlight w:val="none"/>
              </w:rPr>
              <w:t>评分标准</w:t>
            </w:r>
          </w:p>
        </w:tc>
        <w:tc>
          <w:tcPr>
            <w:tcW w:w="424" w:type="pct"/>
            <w:tcBorders>
              <w:left w:val="nil"/>
            </w:tcBorders>
            <w:noWrap w:val="0"/>
            <w:vAlign w:val="center"/>
          </w:tcPr>
          <w:p w14:paraId="690F2996">
            <w:pPr>
              <w:jc w:val="center"/>
              <w:rPr>
                <w:rFonts w:hint="default" w:ascii="Times New Roman" w:hAnsi="Times New Roman" w:eastAsia="仿宋" w:cs="Times New Roman"/>
                <w:b/>
                <w:bCs/>
                <w:color w:val="auto"/>
                <w:kern w:val="0"/>
                <w:sz w:val="22"/>
                <w:szCs w:val="22"/>
                <w:highlight w:val="none"/>
                <w:lang w:val="en-US" w:eastAsia="zh-CN"/>
              </w:rPr>
            </w:pPr>
            <w:r>
              <w:rPr>
                <w:rFonts w:hint="default" w:ascii="Times New Roman" w:hAnsi="Times New Roman" w:eastAsia="仿宋" w:cs="Times New Roman"/>
                <w:b/>
                <w:bCs/>
                <w:color w:val="auto"/>
                <w:kern w:val="0"/>
                <w:sz w:val="22"/>
                <w:szCs w:val="22"/>
                <w:highlight w:val="none"/>
                <w:lang w:val="en-US" w:eastAsia="zh-CN"/>
              </w:rPr>
              <w:t>备注</w:t>
            </w:r>
          </w:p>
        </w:tc>
      </w:tr>
      <w:tr w14:paraId="3B7771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1" w:hRule="atLeast"/>
        </w:trPr>
        <w:tc>
          <w:tcPr>
            <w:tcW w:w="251" w:type="pct"/>
            <w:noWrap w:val="0"/>
            <w:vAlign w:val="center"/>
          </w:tcPr>
          <w:p w14:paraId="5B3DEA5A">
            <w:pPr>
              <w:spacing w:line="360" w:lineRule="auto"/>
              <w:jc w:val="center"/>
              <w:rPr>
                <w:rFonts w:hint="default" w:ascii="Times New Roman" w:hAnsi="Times New Roman" w:eastAsia="宋体" w:cs="Times New Roman"/>
                <w:color w:val="auto"/>
                <w:kern w:val="0"/>
                <w:szCs w:val="21"/>
                <w:highlight w:val="none"/>
                <w:lang w:eastAsia="zh-CN"/>
              </w:rPr>
            </w:pPr>
            <w:r>
              <w:rPr>
                <w:rFonts w:hint="default" w:ascii="Times New Roman" w:hAnsi="Times New Roman" w:eastAsia="宋体" w:cs="Times New Roman"/>
                <w:color w:val="auto"/>
                <w:kern w:val="0"/>
                <w:szCs w:val="21"/>
                <w:highlight w:val="none"/>
                <w:lang w:val="en-US" w:eastAsia="zh-CN"/>
              </w:rPr>
              <w:t>1</w:t>
            </w:r>
          </w:p>
        </w:tc>
        <w:tc>
          <w:tcPr>
            <w:tcW w:w="646" w:type="pct"/>
            <w:tcBorders>
              <w:left w:val="nil"/>
            </w:tcBorders>
            <w:noWrap w:val="0"/>
            <w:vAlign w:val="center"/>
          </w:tcPr>
          <w:p w14:paraId="5EF44D8C">
            <w:pPr>
              <w:widowControl/>
              <w:snapToGrid/>
              <w:spacing w:after="0" w:afterLines="0" w:line="240" w:lineRule="auto"/>
              <w:ind w:firstLine="0" w:firstLineChars="0"/>
              <w:jc w:val="center"/>
              <w:rPr>
                <w:rFonts w:hint="default" w:ascii="Times New Roman" w:hAnsi="Times New Roman" w:eastAsia="方正仿宋_GBK" w:cs="Times New Roman"/>
                <w:snapToGrid/>
                <w:sz w:val="21"/>
                <w:szCs w:val="21"/>
                <w:highlight w:val="none"/>
                <w:lang w:val="en-US" w:eastAsia="zh-CN"/>
              </w:rPr>
            </w:pPr>
            <w:r>
              <w:rPr>
                <w:rFonts w:hint="default" w:ascii="Times New Roman" w:hAnsi="Times New Roman" w:eastAsia="方正仿宋_GBK" w:cs="Times New Roman"/>
                <w:snapToGrid/>
                <w:sz w:val="21"/>
                <w:szCs w:val="21"/>
                <w:highlight w:val="none"/>
                <w:lang w:val="en-US" w:eastAsia="zh-CN"/>
              </w:rPr>
              <w:t>报价（</w:t>
            </w:r>
            <w:r>
              <w:rPr>
                <w:rFonts w:hint="eastAsia" w:ascii="Times New Roman" w:hAnsi="Times New Roman" w:eastAsia="方正仿宋_GBK" w:cs="Times New Roman"/>
                <w:snapToGrid/>
                <w:sz w:val="21"/>
                <w:szCs w:val="21"/>
                <w:highlight w:val="none"/>
                <w:lang w:val="en-US" w:eastAsia="zh-CN"/>
              </w:rPr>
              <w:t>3</w:t>
            </w:r>
            <w:r>
              <w:rPr>
                <w:rFonts w:hint="default" w:ascii="Times New Roman" w:hAnsi="Times New Roman" w:eastAsia="方正仿宋_GBK" w:cs="Times New Roman"/>
                <w:snapToGrid/>
                <w:sz w:val="21"/>
                <w:szCs w:val="21"/>
                <w:highlight w:val="none"/>
                <w:lang w:val="en-US" w:eastAsia="zh-CN"/>
              </w:rPr>
              <w:t>0%）</w:t>
            </w:r>
          </w:p>
        </w:tc>
        <w:tc>
          <w:tcPr>
            <w:tcW w:w="276" w:type="pct"/>
            <w:tcBorders>
              <w:left w:val="nil"/>
            </w:tcBorders>
            <w:noWrap w:val="0"/>
            <w:vAlign w:val="center"/>
          </w:tcPr>
          <w:p w14:paraId="0F4F0097">
            <w:pPr>
              <w:widowControl/>
              <w:snapToGrid/>
              <w:spacing w:after="0" w:afterLines="0" w:line="240" w:lineRule="auto"/>
              <w:ind w:firstLine="0" w:firstLineChars="0"/>
              <w:jc w:val="center"/>
              <w:rPr>
                <w:rFonts w:hint="default" w:ascii="Times New Roman" w:hAnsi="Times New Roman" w:eastAsia="方正仿宋_GBK" w:cs="Times New Roman"/>
                <w:snapToGrid/>
                <w:sz w:val="21"/>
                <w:szCs w:val="21"/>
                <w:highlight w:val="none"/>
              </w:rPr>
            </w:pPr>
            <w:r>
              <w:rPr>
                <w:rFonts w:hint="eastAsia" w:ascii="Times New Roman" w:hAnsi="Times New Roman" w:eastAsia="方正仿宋_GBK" w:cs="Times New Roman"/>
                <w:snapToGrid/>
                <w:sz w:val="21"/>
                <w:szCs w:val="21"/>
                <w:highlight w:val="none"/>
                <w:lang w:val="en-US" w:eastAsia="zh-CN"/>
              </w:rPr>
              <w:t>3</w:t>
            </w:r>
            <w:r>
              <w:rPr>
                <w:rFonts w:hint="default" w:ascii="Times New Roman" w:hAnsi="Times New Roman" w:eastAsia="方正仿宋_GBK" w:cs="Times New Roman"/>
                <w:snapToGrid/>
                <w:sz w:val="21"/>
                <w:szCs w:val="21"/>
                <w:highlight w:val="none"/>
                <w:lang w:val="en-US" w:eastAsia="zh-CN"/>
              </w:rPr>
              <w:t>0</w:t>
            </w:r>
            <w:r>
              <w:rPr>
                <w:rFonts w:hint="default" w:ascii="Times New Roman" w:hAnsi="Times New Roman" w:eastAsia="方正仿宋_GBK" w:cs="Times New Roman"/>
                <w:snapToGrid/>
                <w:sz w:val="21"/>
                <w:szCs w:val="21"/>
                <w:highlight w:val="none"/>
              </w:rPr>
              <w:t>分</w:t>
            </w:r>
          </w:p>
        </w:tc>
        <w:tc>
          <w:tcPr>
            <w:tcW w:w="3400" w:type="pct"/>
            <w:tcBorders>
              <w:left w:val="nil"/>
            </w:tcBorders>
            <w:noWrap w:val="0"/>
            <w:vAlign w:val="center"/>
          </w:tcPr>
          <w:p w14:paraId="275516C9">
            <w:pPr>
              <w:keepNext w:val="0"/>
              <w:keepLines w:val="0"/>
              <w:pageBreakBefore w:val="0"/>
              <w:widowControl/>
              <w:kinsoku/>
              <w:wordWrap/>
              <w:overflowPunct/>
              <w:topLinePunct w:val="0"/>
              <w:autoSpaceDE/>
              <w:autoSpaceDN/>
              <w:bidi w:val="0"/>
              <w:adjustRightInd/>
              <w:snapToGrid/>
              <w:spacing w:after="100" w:afterLines="0" w:afterAutospacing="1" w:line="240" w:lineRule="auto"/>
              <w:ind w:firstLine="0" w:firstLineChars="0"/>
              <w:jc w:val="both"/>
              <w:textAlignment w:val="auto"/>
              <w:rPr>
                <w:rFonts w:hint="default" w:ascii="Times New Roman" w:hAnsi="Times New Roman" w:eastAsia="方正仿宋_GBK" w:cs="Times New Roman"/>
                <w:snapToGrid/>
                <w:sz w:val="21"/>
                <w:szCs w:val="21"/>
                <w:highlight w:val="none"/>
              </w:rPr>
            </w:pPr>
            <w:r>
              <w:rPr>
                <w:rFonts w:hint="eastAsia" w:ascii="Times New Roman" w:hAnsi="Times New Roman" w:eastAsia="方正仿宋_GBK" w:cs="Times New Roman"/>
                <w:sz w:val="21"/>
                <w:szCs w:val="21"/>
                <w:highlight w:val="none"/>
              </w:rPr>
              <w:t>以所有进入评分的有效投标报价的算术平均值为基准价，投标人评标价等于基准价的其价格分为满分。其他响应人的价格分统一按照下列公式计算：报价得分=(（基准价/响应报价)*30%*100</w:t>
            </w:r>
          </w:p>
        </w:tc>
        <w:tc>
          <w:tcPr>
            <w:tcW w:w="424" w:type="pct"/>
            <w:tcBorders>
              <w:left w:val="nil"/>
            </w:tcBorders>
            <w:noWrap w:val="0"/>
            <w:vAlign w:val="center"/>
          </w:tcPr>
          <w:p w14:paraId="7804A74D">
            <w:pPr>
              <w:spacing w:line="360" w:lineRule="auto"/>
              <w:rPr>
                <w:rFonts w:hint="default" w:ascii="Times New Roman" w:hAnsi="Times New Roman" w:eastAsia="宋体" w:cs="Times New Roman"/>
                <w:color w:val="auto"/>
                <w:kern w:val="0"/>
                <w:szCs w:val="21"/>
                <w:highlight w:val="none"/>
              </w:rPr>
            </w:pPr>
          </w:p>
        </w:tc>
      </w:tr>
      <w:tr w14:paraId="5528AC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1" w:hRule="atLeast"/>
        </w:trPr>
        <w:tc>
          <w:tcPr>
            <w:tcW w:w="251" w:type="pct"/>
            <w:tcBorders>
              <w:top w:val="nil"/>
            </w:tcBorders>
            <w:noWrap w:val="0"/>
            <w:vAlign w:val="center"/>
          </w:tcPr>
          <w:p w14:paraId="59FDD4DE">
            <w:pPr>
              <w:spacing w:line="360" w:lineRule="auto"/>
              <w:jc w:val="center"/>
              <w:rPr>
                <w:rFonts w:hint="default" w:ascii="Times New Roman" w:hAnsi="Times New Roman" w:eastAsia="宋体" w:cs="Times New Roman"/>
                <w:color w:val="auto"/>
                <w:kern w:val="0"/>
                <w:szCs w:val="21"/>
                <w:highlight w:val="none"/>
                <w:lang w:eastAsia="zh-CN"/>
              </w:rPr>
            </w:pPr>
            <w:r>
              <w:rPr>
                <w:rFonts w:hint="default" w:ascii="Times New Roman" w:hAnsi="Times New Roman" w:eastAsia="宋体" w:cs="Times New Roman"/>
                <w:color w:val="auto"/>
                <w:kern w:val="0"/>
                <w:szCs w:val="21"/>
                <w:highlight w:val="none"/>
                <w:lang w:val="en-US" w:eastAsia="zh-CN"/>
              </w:rPr>
              <w:t>2</w:t>
            </w:r>
          </w:p>
        </w:tc>
        <w:tc>
          <w:tcPr>
            <w:tcW w:w="646" w:type="pct"/>
            <w:tcBorders>
              <w:left w:val="nil"/>
            </w:tcBorders>
            <w:noWrap w:val="0"/>
            <w:vAlign w:val="center"/>
          </w:tcPr>
          <w:p w14:paraId="3167E124">
            <w:pPr>
              <w:widowControl/>
              <w:snapToGrid/>
              <w:spacing w:after="0" w:afterLines="0" w:line="240" w:lineRule="auto"/>
              <w:ind w:firstLine="0" w:firstLineChars="0"/>
              <w:jc w:val="center"/>
              <w:rPr>
                <w:rFonts w:hint="default" w:ascii="Times New Roman" w:hAnsi="Times New Roman" w:eastAsia="方正仿宋_GBK" w:cs="Times New Roman"/>
                <w:snapToGrid/>
                <w:sz w:val="21"/>
                <w:szCs w:val="21"/>
                <w:highlight w:val="none"/>
                <w:lang w:val="en-US"/>
              </w:rPr>
            </w:pPr>
            <w:r>
              <w:rPr>
                <w:rFonts w:hint="default" w:ascii="Times New Roman" w:hAnsi="Times New Roman" w:eastAsia="方正仿宋_GBK" w:cs="Times New Roman"/>
                <w:snapToGrid/>
                <w:sz w:val="21"/>
                <w:szCs w:val="21"/>
                <w:highlight w:val="none"/>
                <w:lang w:val="en-US" w:eastAsia="zh-CN"/>
              </w:rPr>
              <w:t>履约能力（</w:t>
            </w:r>
            <w:r>
              <w:rPr>
                <w:rFonts w:hint="eastAsia" w:ascii="Times New Roman" w:hAnsi="Times New Roman" w:eastAsia="方正仿宋_GBK" w:cs="Times New Roman"/>
                <w:snapToGrid/>
                <w:sz w:val="21"/>
                <w:szCs w:val="21"/>
                <w:highlight w:val="none"/>
                <w:lang w:val="en-US" w:eastAsia="zh-CN"/>
              </w:rPr>
              <w:t>10</w:t>
            </w:r>
            <w:r>
              <w:rPr>
                <w:rFonts w:hint="default" w:ascii="Times New Roman" w:hAnsi="Times New Roman" w:eastAsia="方正仿宋_GBK" w:cs="Times New Roman"/>
                <w:snapToGrid/>
                <w:sz w:val="21"/>
                <w:szCs w:val="21"/>
                <w:highlight w:val="none"/>
                <w:lang w:val="en-US" w:eastAsia="zh-CN"/>
              </w:rPr>
              <w:t>%）</w:t>
            </w:r>
          </w:p>
        </w:tc>
        <w:tc>
          <w:tcPr>
            <w:tcW w:w="276" w:type="pct"/>
            <w:tcBorders>
              <w:left w:val="nil"/>
            </w:tcBorders>
            <w:noWrap w:val="0"/>
            <w:vAlign w:val="center"/>
          </w:tcPr>
          <w:p w14:paraId="5EBCFBD1">
            <w:pPr>
              <w:widowControl/>
              <w:snapToGrid/>
              <w:spacing w:after="0" w:afterLines="0" w:line="240" w:lineRule="auto"/>
              <w:ind w:firstLine="0" w:firstLineChars="0"/>
              <w:jc w:val="center"/>
              <w:rPr>
                <w:rFonts w:hint="default" w:ascii="Times New Roman" w:hAnsi="Times New Roman" w:eastAsia="方正仿宋_GBK" w:cs="Times New Roman"/>
                <w:snapToGrid/>
                <w:sz w:val="21"/>
                <w:szCs w:val="21"/>
                <w:highlight w:val="none"/>
              </w:rPr>
            </w:pPr>
            <w:r>
              <w:rPr>
                <w:rFonts w:hint="default" w:ascii="Times New Roman" w:hAnsi="Times New Roman" w:eastAsia="方正仿宋_GBK" w:cs="Times New Roman"/>
                <w:snapToGrid/>
                <w:sz w:val="21"/>
                <w:szCs w:val="21"/>
                <w:highlight w:val="none"/>
                <w:lang w:val="en-US" w:eastAsia="zh-CN"/>
              </w:rPr>
              <w:t>10</w:t>
            </w:r>
            <w:r>
              <w:rPr>
                <w:rFonts w:hint="default" w:ascii="Times New Roman" w:hAnsi="Times New Roman" w:eastAsia="方正仿宋_GBK" w:cs="Times New Roman"/>
                <w:snapToGrid/>
                <w:sz w:val="21"/>
                <w:szCs w:val="21"/>
                <w:highlight w:val="none"/>
              </w:rPr>
              <w:t>分</w:t>
            </w:r>
          </w:p>
        </w:tc>
        <w:tc>
          <w:tcPr>
            <w:tcW w:w="3400" w:type="pct"/>
            <w:tcBorders>
              <w:left w:val="nil"/>
            </w:tcBorders>
            <w:noWrap w:val="0"/>
            <w:vAlign w:val="center"/>
          </w:tcPr>
          <w:p w14:paraId="1BFB871B">
            <w:pPr>
              <w:keepNext w:val="0"/>
              <w:keepLines w:val="0"/>
              <w:pageBreakBefore w:val="0"/>
              <w:widowControl/>
              <w:kinsoku/>
              <w:wordWrap/>
              <w:overflowPunct/>
              <w:topLinePunct w:val="0"/>
              <w:autoSpaceDE/>
              <w:autoSpaceDN/>
              <w:bidi w:val="0"/>
              <w:adjustRightInd/>
              <w:snapToGrid/>
              <w:spacing w:after="100" w:afterLines="0" w:afterAutospacing="1" w:line="240" w:lineRule="auto"/>
              <w:ind w:firstLine="0" w:firstLineChars="0"/>
              <w:jc w:val="left"/>
              <w:textAlignment w:val="auto"/>
              <w:rPr>
                <w:rFonts w:hint="default" w:ascii="Times New Roman" w:hAnsi="Times New Roman" w:eastAsia="方正仿宋_GBK" w:cs="Times New Roman"/>
                <w:snapToGrid/>
                <w:sz w:val="21"/>
                <w:szCs w:val="21"/>
                <w:highlight w:val="none"/>
              </w:rPr>
            </w:pPr>
            <w:r>
              <w:rPr>
                <w:rFonts w:hint="eastAsia" w:ascii="Times New Roman" w:hAnsi="Times New Roman" w:eastAsia="方正仿宋_GBK" w:cs="Times New Roman"/>
                <w:snapToGrid/>
                <w:sz w:val="21"/>
                <w:szCs w:val="21"/>
                <w:highlight w:val="none"/>
                <w:lang w:val="en-US" w:eastAsia="zh-CN"/>
              </w:rPr>
              <w:t>投标人</w:t>
            </w:r>
            <w:r>
              <w:rPr>
                <w:rFonts w:hint="default" w:ascii="Times New Roman" w:hAnsi="Times New Roman" w:eastAsia="方正仿宋_GBK" w:cs="Times New Roman"/>
                <w:snapToGrid/>
                <w:sz w:val="21"/>
                <w:szCs w:val="21"/>
                <w:highlight w:val="none"/>
                <w:lang w:val="en-US" w:eastAsia="zh-CN"/>
              </w:rPr>
              <w:t>提供202</w:t>
            </w:r>
            <w:r>
              <w:rPr>
                <w:rFonts w:hint="eastAsia" w:ascii="Times New Roman" w:hAnsi="Times New Roman" w:eastAsia="方正仿宋_GBK" w:cs="Times New Roman"/>
                <w:snapToGrid/>
                <w:sz w:val="21"/>
                <w:szCs w:val="21"/>
                <w:highlight w:val="none"/>
                <w:lang w:val="en-US" w:eastAsia="zh-CN"/>
              </w:rPr>
              <w:t>2</w:t>
            </w:r>
            <w:r>
              <w:rPr>
                <w:rFonts w:hint="default" w:ascii="Times New Roman" w:hAnsi="Times New Roman" w:eastAsia="方正仿宋_GBK" w:cs="Times New Roman"/>
                <w:snapToGrid/>
                <w:sz w:val="21"/>
                <w:szCs w:val="21"/>
                <w:highlight w:val="none"/>
                <w:lang w:val="en-US" w:eastAsia="zh-CN"/>
              </w:rPr>
              <w:t>年1月1日（以合同签订日期为准）以来具有类似项目业绩的，每有一个得2分，本项满分10分。</w:t>
            </w:r>
            <w:r>
              <w:rPr>
                <w:rFonts w:hint="eastAsia" w:ascii="Times New Roman" w:hAnsi="Times New Roman" w:eastAsia="方正仿宋_GBK" w:cs="Times New Roman"/>
                <w:snapToGrid/>
                <w:sz w:val="21"/>
                <w:szCs w:val="21"/>
                <w:highlight w:val="none"/>
                <w:lang w:val="en-US" w:eastAsia="zh-CN"/>
              </w:rPr>
              <w:t xml:space="preserve">                                    </w:t>
            </w:r>
            <w:r>
              <w:rPr>
                <w:rFonts w:hint="default" w:ascii="Times New Roman" w:hAnsi="Times New Roman" w:eastAsia="方正仿宋_GBK" w:cs="Times New Roman"/>
                <w:snapToGrid/>
                <w:sz w:val="21"/>
                <w:szCs w:val="21"/>
                <w:highlight w:val="none"/>
                <w:lang w:val="en-US" w:eastAsia="zh-CN"/>
              </w:rPr>
              <w:t>注：提供中标通知书、合同复印件加盖</w:t>
            </w:r>
            <w:r>
              <w:rPr>
                <w:rFonts w:hint="eastAsia" w:ascii="Times New Roman" w:hAnsi="Times New Roman" w:eastAsia="方正仿宋_GBK" w:cs="Times New Roman"/>
                <w:snapToGrid/>
                <w:sz w:val="21"/>
                <w:szCs w:val="21"/>
                <w:highlight w:val="none"/>
                <w:lang w:val="en-US" w:eastAsia="zh-CN"/>
              </w:rPr>
              <w:t>投标人</w:t>
            </w:r>
            <w:r>
              <w:rPr>
                <w:rFonts w:hint="default" w:ascii="Times New Roman" w:hAnsi="Times New Roman" w:eastAsia="方正仿宋_GBK" w:cs="Times New Roman"/>
                <w:snapToGrid/>
                <w:sz w:val="21"/>
                <w:szCs w:val="21"/>
                <w:highlight w:val="none"/>
                <w:lang w:val="en-US" w:eastAsia="zh-CN"/>
              </w:rPr>
              <w:t>公章。</w:t>
            </w:r>
          </w:p>
        </w:tc>
        <w:tc>
          <w:tcPr>
            <w:tcW w:w="424" w:type="pct"/>
            <w:tcBorders>
              <w:left w:val="nil"/>
            </w:tcBorders>
            <w:noWrap w:val="0"/>
            <w:vAlign w:val="top"/>
          </w:tcPr>
          <w:p w14:paraId="030671BC">
            <w:pPr>
              <w:numPr>
                <w:ilvl w:val="0"/>
                <w:numId w:val="0"/>
              </w:numPr>
              <w:spacing w:line="360" w:lineRule="auto"/>
              <w:jc w:val="left"/>
              <w:rPr>
                <w:rFonts w:hint="default" w:ascii="Times New Roman" w:hAnsi="Times New Roman" w:eastAsia="宋体" w:cs="Times New Roman"/>
                <w:szCs w:val="21"/>
                <w:highlight w:val="none"/>
                <w:lang w:val="en-US" w:eastAsia="zh-CN"/>
              </w:rPr>
            </w:pPr>
          </w:p>
        </w:tc>
      </w:tr>
      <w:tr w14:paraId="66FBB6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4" w:hRule="atLeast"/>
        </w:trPr>
        <w:tc>
          <w:tcPr>
            <w:tcW w:w="251" w:type="pct"/>
            <w:noWrap w:val="0"/>
            <w:vAlign w:val="center"/>
          </w:tcPr>
          <w:p w14:paraId="5405A42A">
            <w:pPr>
              <w:spacing w:line="360" w:lineRule="auto"/>
              <w:jc w:val="center"/>
              <w:rPr>
                <w:rFonts w:hint="default" w:ascii="Times New Roman" w:hAnsi="Times New Roman" w:eastAsia="宋体" w:cs="Times New Roman"/>
                <w:color w:val="auto"/>
                <w:kern w:val="0"/>
                <w:szCs w:val="21"/>
                <w:highlight w:val="none"/>
                <w:lang w:val="en-US" w:eastAsia="zh-CN"/>
              </w:rPr>
            </w:pPr>
            <w:r>
              <w:rPr>
                <w:rFonts w:hint="default" w:ascii="Times New Roman" w:hAnsi="Times New Roman" w:eastAsia="宋体" w:cs="Times New Roman"/>
                <w:color w:val="auto"/>
                <w:kern w:val="0"/>
                <w:szCs w:val="21"/>
                <w:highlight w:val="none"/>
                <w:lang w:val="en-US" w:eastAsia="zh-CN"/>
              </w:rPr>
              <w:t>3</w:t>
            </w:r>
          </w:p>
        </w:tc>
        <w:tc>
          <w:tcPr>
            <w:tcW w:w="646" w:type="pct"/>
            <w:tcBorders>
              <w:left w:val="nil"/>
            </w:tcBorders>
            <w:noWrap w:val="0"/>
            <w:vAlign w:val="center"/>
          </w:tcPr>
          <w:p w14:paraId="1D8B64BC">
            <w:pPr>
              <w:widowControl/>
              <w:snapToGrid/>
              <w:spacing w:after="0" w:afterLines="0" w:line="240" w:lineRule="auto"/>
              <w:ind w:firstLine="0" w:firstLineChars="0"/>
              <w:jc w:val="center"/>
              <w:rPr>
                <w:rFonts w:hint="default" w:ascii="Times New Roman" w:hAnsi="Times New Roman" w:eastAsia="方正仿宋_GBK" w:cs="Times New Roman"/>
                <w:snapToGrid/>
                <w:sz w:val="21"/>
                <w:szCs w:val="21"/>
                <w:highlight w:val="none"/>
                <w:lang w:val="en-US" w:eastAsia="zh-CN"/>
              </w:rPr>
            </w:pPr>
            <w:r>
              <w:rPr>
                <w:rFonts w:hint="eastAsia" w:ascii="Times New Roman" w:hAnsi="Times New Roman" w:eastAsia="方正仿宋_GBK" w:cs="Times New Roman"/>
                <w:snapToGrid/>
                <w:sz w:val="21"/>
                <w:szCs w:val="21"/>
                <w:highlight w:val="none"/>
                <w:lang w:val="en-US" w:eastAsia="zh-CN"/>
              </w:rPr>
              <w:t>技术要求</w:t>
            </w:r>
            <w:r>
              <w:rPr>
                <w:rFonts w:hint="default" w:ascii="Times New Roman" w:hAnsi="Times New Roman" w:eastAsia="方正仿宋_GBK" w:cs="Times New Roman"/>
                <w:snapToGrid/>
                <w:sz w:val="21"/>
                <w:szCs w:val="21"/>
                <w:highlight w:val="none"/>
                <w:lang w:val="en-US" w:eastAsia="zh-CN"/>
              </w:rPr>
              <w:t>（</w:t>
            </w:r>
            <w:r>
              <w:rPr>
                <w:rFonts w:hint="eastAsia" w:ascii="Times New Roman" w:hAnsi="Times New Roman" w:eastAsia="方正仿宋_GBK" w:cs="Times New Roman"/>
                <w:snapToGrid/>
                <w:sz w:val="21"/>
                <w:szCs w:val="21"/>
                <w:highlight w:val="none"/>
                <w:lang w:val="en-US" w:eastAsia="zh-CN"/>
              </w:rPr>
              <w:t>36</w:t>
            </w:r>
            <w:r>
              <w:rPr>
                <w:rFonts w:hint="default" w:ascii="Times New Roman" w:hAnsi="Times New Roman" w:eastAsia="方正仿宋_GBK" w:cs="Times New Roman"/>
                <w:snapToGrid/>
                <w:sz w:val="21"/>
                <w:szCs w:val="21"/>
                <w:highlight w:val="none"/>
                <w:lang w:val="en-US" w:eastAsia="zh-CN"/>
              </w:rPr>
              <w:t>%）</w:t>
            </w:r>
          </w:p>
          <w:p w14:paraId="7D6FB427">
            <w:pPr>
              <w:widowControl/>
              <w:snapToGrid/>
              <w:spacing w:after="0" w:afterLines="0" w:line="240" w:lineRule="auto"/>
              <w:ind w:firstLine="0" w:firstLineChars="0"/>
              <w:jc w:val="center"/>
              <w:rPr>
                <w:rFonts w:hint="default" w:ascii="Times New Roman" w:hAnsi="Times New Roman" w:eastAsia="方正仿宋_GBK" w:cs="Times New Roman"/>
                <w:snapToGrid/>
                <w:sz w:val="21"/>
                <w:szCs w:val="21"/>
                <w:highlight w:val="none"/>
              </w:rPr>
            </w:pPr>
          </w:p>
        </w:tc>
        <w:tc>
          <w:tcPr>
            <w:tcW w:w="276" w:type="pct"/>
            <w:tcBorders>
              <w:left w:val="nil"/>
            </w:tcBorders>
            <w:noWrap w:val="0"/>
            <w:vAlign w:val="center"/>
          </w:tcPr>
          <w:p w14:paraId="4A501F7C">
            <w:pPr>
              <w:widowControl/>
              <w:snapToGrid/>
              <w:spacing w:after="0" w:afterLines="0" w:line="240" w:lineRule="auto"/>
              <w:ind w:firstLine="0" w:firstLineChars="0"/>
              <w:jc w:val="center"/>
              <w:rPr>
                <w:rFonts w:hint="default" w:ascii="Times New Roman" w:hAnsi="Times New Roman" w:eastAsia="方正仿宋_GBK" w:cs="Times New Roman"/>
                <w:snapToGrid/>
                <w:sz w:val="21"/>
                <w:szCs w:val="21"/>
                <w:highlight w:val="none"/>
                <w:lang w:val="en-US" w:eastAsia="zh-CN"/>
              </w:rPr>
            </w:pPr>
            <w:r>
              <w:rPr>
                <w:rFonts w:hint="eastAsia" w:ascii="Times New Roman" w:hAnsi="Times New Roman" w:eastAsia="方正仿宋_GBK" w:cs="Times New Roman"/>
                <w:snapToGrid/>
                <w:sz w:val="21"/>
                <w:szCs w:val="21"/>
                <w:highlight w:val="none"/>
                <w:lang w:val="en-US" w:eastAsia="zh-CN"/>
              </w:rPr>
              <w:t>36</w:t>
            </w:r>
            <w:r>
              <w:rPr>
                <w:rFonts w:hint="default" w:ascii="Times New Roman" w:hAnsi="Times New Roman" w:eastAsia="方正仿宋_GBK" w:cs="Times New Roman"/>
                <w:snapToGrid/>
                <w:sz w:val="21"/>
                <w:szCs w:val="21"/>
                <w:highlight w:val="none"/>
                <w:lang w:val="en-US" w:eastAsia="zh-CN"/>
              </w:rPr>
              <w:t>分</w:t>
            </w:r>
          </w:p>
        </w:tc>
        <w:tc>
          <w:tcPr>
            <w:tcW w:w="3400" w:type="pct"/>
            <w:tcBorders>
              <w:left w:val="nil"/>
            </w:tcBorders>
            <w:noWrap w:val="0"/>
            <w:vAlign w:val="top"/>
          </w:tcPr>
          <w:p w14:paraId="423FD315">
            <w:pPr>
              <w:rPr>
                <w:rFonts w:hint="eastAsia" w:ascii="仿宋" w:hAnsi="仿宋" w:eastAsia="仿宋"/>
                <w:szCs w:val="21"/>
                <w:highlight w:val="none"/>
              </w:rPr>
            </w:pPr>
            <w:r>
              <w:rPr>
                <w:rFonts w:hint="eastAsia" w:ascii="仿宋" w:hAnsi="仿宋" w:eastAsia="仿宋"/>
                <w:szCs w:val="21"/>
                <w:highlight w:val="none"/>
              </w:rPr>
              <w:t>投标人针对技术参数条款的响应得分规则如下：</w:t>
            </w:r>
          </w:p>
          <w:p w14:paraId="09951FA4">
            <w:pPr>
              <w:rPr>
                <w:rFonts w:hint="eastAsia" w:ascii="仿宋" w:hAnsi="仿宋" w:eastAsia="仿宋"/>
                <w:szCs w:val="21"/>
                <w:highlight w:val="none"/>
              </w:rPr>
            </w:pPr>
            <w:r>
              <w:rPr>
                <w:rFonts w:hint="eastAsia" w:ascii="仿宋" w:hAnsi="仿宋" w:eastAsia="仿宋"/>
                <w:szCs w:val="21"/>
                <w:highlight w:val="none"/>
              </w:rPr>
              <w:t>1.一般技术参数条款响应得分=（投标人满足一般技术参数条款的数量÷对应包件中一般技术参数条款的总数量）×</w:t>
            </w:r>
            <w:r>
              <w:rPr>
                <w:rFonts w:hint="eastAsia" w:ascii="仿宋" w:hAnsi="仿宋" w:eastAsia="仿宋"/>
                <w:szCs w:val="21"/>
                <w:highlight w:val="none"/>
                <w:lang w:val="en-US" w:eastAsia="zh-CN"/>
              </w:rPr>
              <w:t>18</w:t>
            </w:r>
            <w:r>
              <w:rPr>
                <w:rFonts w:hint="eastAsia" w:ascii="仿宋" w:hAnsi="仿宋" w:eastAsia="仿宋"/>
                <w:szCs w:val="21"/>
                <w:highlight w:val="none"/>
              </w:rPr>
              <w:t>分。一般技术参数条款：</w:t>
            </w:r>
            <w:r>
              <w:rPr>
                <w:rFonts w:hint="eastAsia" w:ascii="仿宋" w:hAnsi="仿宋" w:eastAsia="仿宋"/>
                <w:szCs w:val="21"/>
                <w:highlight w:val="none"/>
                <w:lang w:val="en-US" w:eastAsia="zh-CN"/>
              </w:rPr>
              <w:t>9</w:t>
            </w:r>
            <w:r>
              <w:rPr>
                <w:rFonts w:hint="eastAsia" w:ascii="仿宋" w:hAnsi="仿宋" w:eastAsia="仿宋"/>
                <w:szCs w:val="21"/>
                <w:highlight w:val="none"/>
              </w:rPr>
              <w:t>条。</w:t>
            </w:r>
          </w:p>
          <w:p w14:paraId="3418BD35">
            <w:pPr>
              <w:rPr>
                <w:rFonts w:hint="eastAsia" w:ascii="仿宋" w:hAnsi="仿宋" w:eastAsia="仿宋"/>
                <w:szCs w:val="21"/>
                <w:highlight w:val="none"/>
              </w:rPr>
            </w:pPr>
            <w:r>
              <w:rPr>
                <w:rFonts w:hint="eastAsia" w:ascii="仿宋" w:hAnsi="仿宋" w:eastAsia="仿宋"/>
                <w:szCs w:val="21"/>
                <w:highlight w:val="none"/>
              </w:rPr>
              <w:t>2.投标人针对“▲”技术参数条款的响应得分规则如下：</w:t>
            </w:r>
          </w:p>
          <w:p w14:paraId="03D8858D">
            <w:pPr>
              <w:rPr>
                <w:rFonts w:hint="eastAsia" w:ascii="仿宋" w:hAnsi="仿宋" w:eastAsia="仿宋"/>
                <w:szCs w:val="21"/>
                <w:highlight w:val="none"/>
              </w:rPr>
            </w:pPr>
            <w:r>
              <w:rPr>
                <w:rFonts w:hint="eastAsia" w:ascii="仿宋" w:hAnsi="仿宋" w:eastAsia="仿宋"/>
                <w:szCs w:val="21"/>
                <w:highlight w:val="none"/>
              </w:rPr>
              <w:t>“▲”技术参数条款响应得分=（投标人满足“▲”技术参数条款的数量÷对应包件中“▲”技术参数条款的总数量）×</w:t>
            </w:r>
            <w:r>
              <w:rPr>
                <w:rFonts w:hint="eastAsia" w:ascii="仿宋" w:hAnsi="仿宋" w:eastAsia="仿宋"/>
                <w:szCs w:val="21"/>
                <w:highlight w:val="none"/>
                <w:lang w:val="en-US" w:eastAsia="zh-CN"/>
              </w:rPr>
              <w:t>18</w:t>
            </w:r>
            <w:r>
              <w:rPr>
                <w:rFonts w:hint="eastAsia" w:ascii="仿宋" w:hAnsi="仿宋" w:eastAsia="仿宋"/>
                <w:szCs w:val="21"/>
                <w:highlight w:val="none"/>
              </w:rPr>
              <w:t>分。“▲”技术参数条款：</w:t>
            </w:r>
            <w:r>
              <w:rPr>
                <w:rFonts w:hint="eastAsia" w:ascii="仿宋" w:hAnsi="仿宋" w:eastAsia="仿宋"/>
                <w:szCs w:val="21"/>
                <w:highlight w:val="none"/>
                <w:lang w:val="en-US" w:eastAsia="zh-CN"/>
              </w:rPr>
              <w:t>3</w:t>
            </w:r>
            <w:r>
              <w:rPr>
                <w:rFonts w:hint="eastAsia" w:ascii="仿宋" w:hAnsi="仿宋" w:eastAsia="仿宋"/>
                <w:szCs w:val="21"/>
                <w:highlight w:val="none"/>
              </w:rPr>
              <w:t>条。</w:t>
            </w:r>
          </w:p>
          <w:p w14:paraId="7FEE2A21">
            <w:pPr>
              <w:rPr>
                <w:rFonts w:hint="eastAsia" w:ascii="仿宋" w:hAnsi="仿宋" w:eastAsia="仿宋"/>
                <w:szCs w:val="21"/>
                <w:highlight w:val="none"/>
                <w:lang w:val="en-US" w:eastAsia="zh-CN"/>
              </w:rPr>
            </w:pPr>
            <w:r>
              <w:rPr>
                <w:rFonts w:hint="eastAsia" w:ascii="仿宋" w:hAnsi="仿宋" w:eastAsia="仿宋"/>
                <w:szCs w:val="21"/>
                <w:highlight w:val="none"/>
                <w:lang w:val="en-US" w:eastAsia="zh-CN"/>
              </w:rPr>
              <w:t>注：</w:t>
            </w:r>
          </w:p>
          <w:p w14:paraId="283F6534">
            <w:pPr>
              <w:spacing w:line="240" w:lineRule="auto"/>
              <w:rPr>
                <w:rFonts w:hint="eastAsia" w:ascii="仿宋" w:hAnsi="仿宋" w:eastAsia="仿宋"/>
                <w:szCs w:val="21"/>
                <w:highlight w:val="none"/>
              </w:rPr>
            </w:pPr>
            <w:r>
              <w:rPr>
                <w:rFonts w:hint="eastAsia" w:ascii="仿宋" w:hAnsi="仿宋" w:eastAsia="仿宋"/>
                <w:szCs w:val="21"/>
                <w:highlight w:val="none"/>
                <w:lang w:val="en-US" w:eastAsia="zh-CN"/>
              </w:rPr>
              <w:t>①</w:t>
            </w:r>
            <w:r>
              <w:rPr>
                <w:rFonts w:hint="eastAsia" w:ascii="仿宋" w:hAnsi="仿宋" w:eastAsia="仿宋"/>
                <w:szCs w:val="21"/>
                <w:highlight w:val="none"/>
              </w:rPr>
              <w:t>针对“▲”号技术参数条款的响应，</w:t>
            </w:r>
            <w:r>
              <w:rPr>
                <w:rFonts w:hint="eastAsia" w:ascii="仿宋" w:hAnsi="仿宋" w:eastAsia="仿宋"/>
                <w:szCs w:val="21"/>
                <w:highlight w:val="none"/>
                <w:lang w:val="en-US" w:eastAsia="zh-CN"/>
              </w:rPr>
              <w:t>投标人</w:t>
            </w:r>
            <w:r>
              <w:rPr>
                <w:rFonts w:hint="eastAsia" w:ascii="仿宋" w:hAnsi="仿宋" w:eastAsia="仿宋"/>
                <w:szCs w:val="21"/>
                <w:highlight w:val="none"/>
              </w:rPr>
              <w:t>应提供技术支持资料，技术支持资料指：投标产品生产厂家公开发布的印刷资料或者说明书或检测机构出具的检测报告或者白皮书等资料，否则认为不满足。（如果</w:t>
            </w:r>
            <w:r>
              <w:rPr>
                <w:rFonts w:hint="eastAsia" w:ascii="仿宋" w:hAnsi="仿宋" w:eastAsia="仿宋" w:cs="仿宋"/>
                <w:color w:val="000000" w:themeColor="text1"/>
                <w:highlight w:val="none"/>
                <w:lang w:val="en-US" w:eastAsia="zh-CN"/>
                <w14:textFill>
                  <w14:solidFill>
                    <w14:schemeClr w14:val="tx1"/>
                  </w14:solidFill>
                </w14:textFill>
              </w:rPr>
              <w:t>附件一：二、</w:t>
            </w:r>
            <w:r>
              <w:rPr>
                <w:rFonts w:hint="eastAsia" w:ascii="仿宋" w:hAnsi="仿宋" w:eastAsia="仿宋" w:cs="仿宋"/>
                <w:color w:val="000000" w:themeColor="text1"/>
                <w:highlight w:val="none"/>
                <w:lang w:eastAsia="zh-CN"/>
                <w14:textFill>
                  <w14:solidFill>
                    <w14:schemeClr w14:val="tx1"/>
                  </w14:solidFill>
                </w14:textFill>
              </w:rPr>
              <w:t>“</w:t>
            </w:r>
            <w:r>
              <w:rPr>
                <w:rFonts w:hint="eastAsia" w:ascii="仿宋" w:hAnsi="仿宋" w:eastAsia="仿宋"/>
                <w:szCs w:val="21"/>
                <w:highlight w:val="none"/>
              </w:rPr>
              <w:t>技术要求”对“▲”号技术参数条款的技术支撑材料另有要求，应按要求提供，否则对应技术参数条款将视为不满足。）。</w:t>
            </w:r>
          </w:p>
          <w:p w14:paraId="3AE56DAB">
            <w:pPr>
              <w:spacing w:line="240" w:lineRule="auto"/>
              <w:rPr>
                <w:rFonts w:hint="eastAsia" w:ascii="仿宋" w:hAnsi="仿宋" w:eastAsia="仿宋"/>
                <w:szCs w:val="21"/>
                <w:highlight w:val="none"/>
              </w:rPr>
            </w:pPr>
            <w:r>
              <w:rPr>
                <w:rFonts w:hint="eastAsia" w:ascii="仿宋" w:hAnsi="仿宋" w:eastAsia="仿宋"/>
                <w:szCs w:val="21"/>
                <w:highlight w:val="none"/>
              </w:rPr>
              <w:t>②以一级序号数字（如 “1.”“2.”“3.”……）为一项（标题除外）；数字序号下有多级序号的，以最小级数字序号为1项。</w:t>
            </w:r>
          </w:p>
          <w:p w14:paraId="41BE4CE1">
            <w:pPr>
              <w:keepNext w:val="0"/>
              <w:keepLines w:val="0"/>
              <w:pageBreakBefore w:val="0"/>
              <w:widowControl/>
              <w:kinsoku/>
              <w:wordWrap/>
              <w:overflowPunct/>
              <w:topLinePunct w:val="0"/>
              <w:autoSpaceDE/>
              <w:autoSpaceDN/>
              <w:bidi w:val="0"/>
              <w:adjustRightInd/>
              <w:snapToGrid/>
              <w:spacing w:after="100" w:afterLines="0" w:afterAutospacing="1" w:line="240" w:lineRule="auto"/>
              <w:ind w:firstLine="0" w:firstLineChars="0"/>
              <w:jc w:val="both"/>
              <w:textAlignment w:val="auto"/>
              <w:rPr>
                <w:rFonts w:hint="default" w:ascii="Times New Roman" w:hAnsi="Times New Roman" w:eastAsia="方正仿宋_GBK" w:cs="Times New Roman"/>
                <w:snapToGrid/>
                <w:sz w:val="21"/>
                <w:szCs w:val="21"/>
                <w:highlight w:val="none"/>
              </w:rPr>
            </w:pPr>
            <w:r>
              <w:rPr>
                <w:rFonts w:hint="eastAsia" w:ascii="仿宋" w:hAnsi="仿宋" w:eastAsia="仿宋"/>
                <w:szCs w:val="21"/>
                <w:highlight w:val="none"/>
                <w:lang w:val="en-US" w:eastAsia="zh-CN"/>
              </w:rPr>
              <w:t>③</w:t>
            </w:r>
            <w:r>
              <w:rPr>
                <w:rFonts w:hint="eastAsia" w:ascii="仿宋" w:hAnsi="仿宋" w:eastAsia="仿宋"/>
                <w:szCs w:val="21"/>
                <w:highlight w:val="none"/>
              </w:rPr>
              <w:t>以上技术支撑材料编制于投标文件格式</w:t>
            </w:r>
            <w:r>
              <w:rPr>
                <w:rFonts w:hint="eastAsia" w:ascii="仿宋" w:hAnsi="仿宋" w:eastAsia="仿宋"/>
                <w:szCs w:val="21"/>
                <w:highlight w:val="none"/>
                <w:lang w:val="en-US" w:eastAsia="zh-CN"/>
              </w:rPr>
              <w:t>8</w:t>
            </w:r>
            <w:r>
              <w:rPr>
                <w:rFonts w:hint="eastAsia" w:ascii="仿宋" w:hAnsi="仿宋" w:eastAsia="仿宋"/>
                <w:szCs w:val="21"/>
                <w:highlight w:val="none"/>
              </w:rPr>
              <w:t>-《</w:t>
            </w:r>
            <w:r>
              <w:rPr>
                <w:rFonts w:hint="eastAsia" w:ascii="仿宋" w:hAnsi="仿宋" w:eastAsia="仿宋"/>
                <w:szCs w:val="21"/>
                <w:highlight w:val="none"/>
                <w:lang w:val="en-US" w:eastAsia="zh-CN"/>
              </w:rPr>
              <w:t>需要说明的其他内容</w:t>
            </w:r>
            <w:r>
              <w:rPr>
                <w:rFonts w:hint="eastAsia" w:ascii="仿宋" w:hAnsi="仿宋" w:eastAsia="仿宋"/>
                <w:szCs w:val="21"/>
                <w:highlight w:val="none"/>
              </w:rPr>
              <w:t>》。</w:t>
            </w:r>
          </w:p>
        </w:tc>
        <w:tc>
          <w:tcPr>
            <w:tcW w:w="424" w:type="pct"/>
            <w:tcBorders>
              <w:left w:val="nil"/>
            </w:tcBorders>
            <w:noWrap w:val="0"/>
            <w:vAlign w:val="top"/>
          </w:tcPr>
          <w:p w14:paraId="29A516F9">
            <w:pPr>
              <w:numPr>
                <w:ilvl w:val="0"/>
                <w:numId w:val="0"/>
              </w:numPr>
              <w:spacing w:line="360" w:lineRule="auto"/>
              <w:jc w:val="left"/>
              <w:rPr>
                <w:rFonts w:hint="default" w:ascii="Times New Roman" w:hAnsi="Times New Roman" w:eastAsia="宋体" w:cs="Times New Roman"/>
                <w:szCs w:val="21"/>
                <w:highlight w:val="none"/>
                <w:lang w:val="en-US" w:eastAsia="zh-CN"/>
              </w:rPr>
            </w:pPr>
          </w:p>
        </w:tc>
      </w:tr>
      <w:tr w14:paraId="58D5B1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97" w:hRule="atLeast"/>
        </w:trPr>
        <w:tc>
          <w:tcPr>
            <w:tcW w:w="251" w:type="pct"/>
            <w:noWrap w:val="0"/>
            <w:vAlign w:val="center"/>
          </w:tcPr>
          <w:p w14:paraId="7D78AA29">
            <w:pPr>
              <w:spacing w:line="360" w:lineRule="auto"/>
              <w:jc w:val="center"/>
              <w:rPr>
                <w:rFonts w:hint="default" w:ascii="Times New Roman" w:hAnsi="Times New Roman" w:eastAsia="宋体" w:cs="Times New Roman"/>
                <w:color w:val="auto"/>
                <w:kern w:val="0"/>
                <w:szCs w:val="21"/>
                <w:highlight w:val="none"/>
                <w:lang w:val="en-US" w:eastAsia="zh-CN"/>
              </w:rPr>
            </w:pPr>
            <w:r>
              <w:rPr>
                <w:rFonts w:hint="default" w:ascii="Times New Roman" w:hAnsi="Times New Roman" w:eastAsia="宋体" w:cs="Times New Roman"/>
                <w:color w:val="auto"/>
                <w:kern w:val="0"/>
                <w:szCs w:val="21"/>
                <w:highlight w:val="none"/>
                <w:lang w:val="en-US" w:eastAsia="zh-CN"/>
              </w:rPr>
              <w:t>4</w:t>
            </w:r>
          </w:p>
        </w:tc>
        <w:tc>
          <w:tcPr>
            <w:tcW w:w="646" w:type="pct"/>
            <w:tcBorders>
              <w:left w:val="nil"/>
            </w:tcBorders>
            <w:noWrap w:val="0"/>
            <w:vAlign w:val="center"/>
          </w:tcPr>
          <w:p w14:paraId="041F85E4">
            <w:pPr>
              <w:widowControl/>
              <w:snapToGrid/>
              <w:spacing w:after="0" w:afterLines="0" w:line="240" w:lineRule="auto"/>
              <w:ind w:firstLine="0" w:firstLineChars="0"/>
              <w:jc w:val="center"/>
              <w:rPr>
                <w:rFonts w:hint="default" w:ascii="Times New Roman" w:hAnsi="Times New Roman" w:eastAsia="方正仿宋_GBK" w:cs="Times New Roman"/>
                <w:snapToGrid/>
                <w:sz w:val="21"/>
                <w:szCs w:val="21"/>
                <w:highlight w:val="none"/>
                <w:lang w:val="en-US" w:eastAsia="zh-CN"/>
              </w:rPr>
            </w:pPr>
            <w:r>
              <w:rPr>
                <w:rFonts w:hint="default" w:ascii="Times New Roman" w:hAnsi="Times New Roman" w:eastAsia="方正仿宋_GBK" w:cs="Times New Roman"/>
                <w:snapToGrid/>
                <w:sz w:val="21"/>
                <w:szCs w:val="21"/>
                <w:highlight w:val="none"/>
                <w:lang w:val="en-US" w:eastAsia="zh-CN"/>
              </w:rPr>
              <w:t>项目实施方案（</w:t>
            </w:r>
            <w:r>
              <w:rPr>
                <w:rFonts w:hint="eastAsia" w:ascii="Times New Roman" w:hAnsi="Times New Roman" w:eastAsia="方正仿宋_GBK" w:cs="Times New Roman"/>
                <w:snapToGrid/>
                <w:sz w:val="21"/>
                <w:szCs w:val="21"/>
                <w:highlight w:val="none"/>
                <w:lang w:val="en-US" w:eastAsia="zh-CN"/>
              </w:rPr>
              <w:t>12</w:t>
            </w:r>
            <w:r>
              <w:rPr>
                <w:rFonts w:hint="default" w:ascii="Times New Roman" w:hAnsi="Times New Roman" w:eastAsia="方正仿宋_GBK" w:cs="Times New Roman"/>
                <w:snapToGrid/>
                <w:sz w:val="21"/>
                <w:szCs w:val="21"/>
                <w:highlight w:val="none"/>
                <w:lang w:val="en-US" w:eastAsia="zh-CN"/>
              </w:rPr>
              <w:t>%）</w:t>
            </w:r>
          </w:p>
        </w:tc>
        <w:tc>
          <w:tcPr>
            <w:tcW w:w="276" w:type="pct"/>
            <w:tcBorders>
              <w:left w:val="nil"/>
            </w:tcBorders>
            <w:noWrap w:val="0"/>
            <w:vAlign w:val="center"/>
          </w:tcPr>
          <w:p w14:paraId="03951A16">
            <w:pPr>
              <w:widowControl/>
              <w:snapToGrid/>
              <w:spacing w:after="0" w:afterLines="0" w:line="240" w:lineRule="auto"/>
              <w:ind w:firstLine="0" w:firstLineChars="0"/>
              <w:jc w:val="center"/>
              <w:rPr>
                <w:rFonts w:hint="default" w:ascii="Times New Roman" w:hAnsi="Times New Roman" w:eastAsia="方正仿宋_GBK" w:cs="Times New Roman"/>
                <w:snapToGrid/>
                <w:sz w:val="21"/>
                <w:szCs w:val="21"/>
                <w:highlight w:val="none"/>
                <w:lang w:val="en-US" w:eastAsia="zh-CN"/>
              </w:rPr>
            </w:pPr>
            <w:r>
              <w:rPr>
                <w:rFonts w:hint="eastAsia" w:ascii="Times New Roman" w:hAnsi="Times New Roman" w:eastAsia="方正仿宋_GBK" w:cs="Times New Roman"/>
                <w:snapToGrid/>
                <w:sz w:val="21"/>
                <w:szCs w:val="21"/>
                <w:highlight w:val="none"/>
                <w:lang w:val="en-US" w:eastAsia="zh-CN"/>
              </w:rPr>
              <w:t>12</w:t>
            </w:r>
            <w:r>
              <w:rPr>
                <w:rFonts w:hint="default" w:ascii="Times New Roman" w:hAnsi="Times New Roman" w:eastAsia="方正仿宋_GBK" w:cs="Times New Roman"/>
                <w:snapToGrid/>
                <w:sz w:val="21"/>
                <w:szCs w:val="21"/>
                <w:highlight w:val="none"/>
                <w:lang w:val="en-US" w:eastAsia="zh-CN"/>
              </w:rPr>
              <w:t>分</w:t>
            </w:r>
          </w:p>
        </w:tc>
        <w:tc>
          <w:tcPr>
            <w:tcW w:w="3400" w:type="pct"/>
            <w:tcBorders>
              <w:left w:val="nil"/>
            </w:tcBorders>
            <w:noWrap w:val="0"/>
            <w:vAlign w:val="top"/>
          </w:tcPr>
          <w:p w14:paraId="5B6BEB5D">
            <w:pPr>
              <w:keepNext w:val="0"/>
              <w:keepLines w:val="0"/>
              <w:pageBreakBefore w:val="0"/>
              <w:widowControl/>
              <w:kinsoku/>
              <w:wordWrap/>
              <w:overflowPunct/>
              <w:topLinePunct w:val="0"/>
              <w:autoSpaceDE/>
              <w:autoSpaceDN/>
              <w:bidi w:val="0"/>
              <w:adjustRightInd/>
              <w:snapToGrid/>
              <w:spacing w:afterLines="0" w:afterAutospacing="0" w:line="280" w:lineRule="exact"/>
              <w:textAlignment w:val="auto"/>
              <w:rPr>
                <w:rFonts w:hint="default" w:ascii="Times New Roman" w:hAnsi="Times New Roman" w:eastAsia="仿宋" w:cs="Times New Roman"/>
                <w:color w:val="000000"/>
                <w:sz w:val="21"/>
                <w:szCs w:val="21"/>
                <w:highlight w:val="none"/>
              </w:rPr>
            </w:pPr>
            <w:r>
              <w:rPr>
                <w:rFonts w:hint="eastAsia" w:ascii="Times New Roman" w:hAnsi="Times New Roman" w:eastAsia="方正仿宋_GBK" w:cs="Times New Roman"/>
                <w:snapToGrid/>
                <w:sz w:val="21"/>
                <w:szCs w:val="21"/>
                <w:highlight w:val="none"/>
                <w:lang w:val="en-US" w:eastAsia="zh-CN"/>
              </w:rPr>
              <w:t>1.投标人</w:t>
            </w:r>
            <w:r>
              <w:rPr>
                <w:rFonts w:hint="default" w:ascii="Times New Roman" w:hAnsi="Times New Roman" w:eastAsia="方正仿宋_GBK" w:cs="Times New Roman"/>
                <w:snapToGrid/>
                <w:sz w:val="21"/>
                <w:szCs w:val="21"/>
                <w:highlight w:val="none"/>
              </w:rPr>
              <w:t>根据本项目的具体情况提供针对本项目实施方案</w:t>
            </w:r>
            <w:r>
              <w:rPr>
                <w:rFonts w:hint="eastAsia" w:ascii="Times New Roman" w:hAnsi="Times New Roman" w:eastAsia="方正仿宋_GBK" w:cs="Times New Roman"/>
                <w:snapToGrid/>
                <w:sz w:val="21"/>
                <w:szCs w:val="21"/>
                <w:highlight w:val="none"/>
                <w:lang w:eastAsia="zh-CN"/>
              </w:rPr>
              <w:t>：</w:t>
            </w:r>
            <w:r>
              <w:rPr>
                <w:rFonts w:hint="default" w:ascii="Times New Roman" w:hAnsi="Times New Roman" w:eastAsia="方正仿宋_GBK" w:cs="Times New Roman"/>
                <w:snapToGrid/>
                <w:sz w:val="21"/>
                <w:szCs w:val="21"/>
                <w:highlight w:val="none"/>
              </w:rPr>
              <w:t>①包含合理的供货、运输、安装</w:t>
            </w:r>
            <w:r>
              <w:rPr>
                <w:rFonts w:hint="default" w:ascii="Times New Roman" w:hAnsi="Times New Roman" w:eastAsia="方正仿宋_GBK" w:cs="Times New Roman"/>
                <w:snapToGrid/>
                <w:sz w:val="21"/>
                <w:szCs w:val="21"/>
                <w:highlight w:val="none"/>
                <w:lang w:val="en-US" w:eastAsia="zh-CN"/>
              </w:rPr>
              <w:t>等</w:t>
            </w:r>
            <w:r>
              <w:rPr>
                <w:rFonts w:hint="default" w:ascii="Times New Roman" w:hAnsi="Times New Roman" w:eastAsia="方正仿宋_GBK" w:cs="Times New Roman"/>
                <w:snapToGrid/>
                <w:sz w:val="21"/>
                <w:szCs w:val="21"/>
                <w:highlight w:val="none"/>
              </w:rPr>
              <w:t>方案</w:t>
            </w:r>
            <w:r>
              <w:rPr>
                <w:rFonts w:hint="default" w:ascii="Times New Roman" w:hAnsi="Times New Roman" w:eastAsia="方正仿宋_GBK" w:cs="Times New Roman"/>
                <w:snapToGrid/>
                <w:sz w:val="21"/>
                <w:szCs w:val="21"/>
                <w:highlight w:val="none"/>
                <w:lang w:eastAsia="zh-CN"/>
              </w:rPr>
              <w:t>；</w:t>
            </w:r>
            <w:r>
              <w:rPr>
                <w:rFonts w:hint="default" w:ascii="Times New Roman" w:hAnsi="Times New Roman" w:eastAsia="方正仿宋_GBK" w:cs="Times New Roman"/>
                <w:snapToGrid/>
                <w:sz w:val="21"/>
                <w:szCs w:val="21"/>
                <w:highlight w:val="none"/>
              </w:rPr>
              <w:t>②</w:t>
            </w:r>
            <w:r>
              <w:rPr>
                <w:rFonts w:hint="eastAsia" w:ascii="Times New Roman" w:hAnsi="Times New Roman" w:eastAsia="方正仿宋_GBK" w:cs="Times New Roman"/>
                <w:snapToGrid/>
                <w:sz w:val="21"/>
                <w:szCs w:val="21"/>
                <w:highlight w:val="none"/>
                <w:lang w:val="en-US" w:eastAsia="zh-CN"/>
              </w:rPr>
              <w:t>投标人</w:t>
            </w:r>
            <w:r>
              <w:rPr>
                <w:rFonts w:hint="default" w:ascii="Times New Roman" w:hAnsi="Times New Roman" w:eastAsia="方正仿宋_GBK" w:cs="Times New Roman"/>
                <w:snapToGrid/>
                <w:sz w:val="21"/>
                <w:szCs w:val="21"/>
                <w:highlight w:val="none"/>
              </w:rPr>
              <w:t>提供针对本项目的质量保证、安全保障措施</w:t>
            </w:r>
            <w:r>
              <w:rPr>
                <w:rFonts w:hint="default" w:ascii="Times New Roman" w:hAnsi="Times New Roman" w:eastAsia="方正仿宋_GBK" w:cs="Times New Roman"/>
                <w:snapToGrid/>
                <w:sz w:val="21"/>
                <w:szCs w:val="21"/>
                <w:highlight w:val="none"/>
                <w:lang w:eastAsia="zh-CN"/>
              </w:rPr>
              <w:t>；</w:t>
            </w:r>
            <w:r>
              <w:rPr>
                <w:rFonts w:hint="default" w:ascii="Times New Roman" w:hAnsi="Times New Roman" w:eastAsia="方正仿宋_GBK" w:cs="Times New Roman"/>
                <w:snapToGrid/>
                <w:sz w:val="21"/>
                <w:szCs w:val="21"/>
                <w:highlight w:val="none"/>
              </w:rPr>
              <w:t>③</w:t>
            </w:r>
            <w:r>
              <w:rPr>
                <w:rFonts w:hint="eastAsia" w:ascii="Times New Roman" w:hAnsi="Times New Roman" w:eastAsia="方正仿宋_GBK" w:cs="Times New Roman"/>
                <w:snapToGrid/>
                <w:sz w:val="21"/>
                <w:szCs w:val="21"/>
                <w:highlight w:val="none"/>
                <w:lang w:val="en-US" w:eastAsia="zh-CN"/>
              </w:rPr>
              <w:t>投标人</w:t>
            </w:r>
            <w:r>
              <w:rPr>
                <w:rFonts w:hint="default" w:ascii="Times New Roman" w:hAnsi="Times New Roman" w:eastAsia="方正仿宋_GBK" w:cs="Times New Roman"/>
                <w:snapToGrid/>
                <w:sz w:val="21"/>
                <w:szCs w:val="21"/>
                <w:highlight w:val="none"/>
              </w:rPr>
              <w:t>提供售后服务</w:t>
            </w:r>
            <w:r>
              <w:rPr>
                <w:rFonts w:hint="default" w:ascii="Times New Roman" w:hAnsi="Times New Roman" w:eastAsia="方正仿宋_GBK" w:cs="Times New Roman"/>
                <w:snapToGrid/>
                <w:sz w:val="21"/>
                <w:szCs w:val="21"/>
                <w:highlight w:val="none"/>
                <w:lang w:val="en-US" w:eastAsia="zh-CN"/>
              </w:rPr>
              <w:t>方案</w:t>
            </w:r>
            <w:r>
              <w:rPr>
                <w:rFonts w:hint="default" w:ascii="Times New Roman" w:hAnsi="Times New Roman" w:eastAsia="方正仿宋_GBK" w:cs="Times New Roman"/>
                <w:snapToGrid/>
                <w:sz w:val="21"/>
                <w:szCs w:val="21"/>
                <w:highlight w:val="none"/>
              </w:rPr>
              <w:t>：内容包括售后服务承诺及保修细则、服务质量保证标准、售后服务工具配备、优惠条件承诺及服务体系说明。</w:t>
            </w:r>
            <w:r>
              <w:rPr>
                <w:rFonts w:hint="default" w:ascii="Times New Roman" w:hAnsi="Times New Roman" w:eastAsia="方正仿宋_GBK" w:cs="Times New Roman"/>
                <w:sz w:val="21"/>
                <w:szCs w:val="21"/>
                <w:highlight w:val="none"/>
              </w:rPr>
              <w:t>完</w:t>
            </w:r>
            <w:r>
              <w:rPr>
                <w:rFonts w:hint="default" w:ascii="Times New Roman" w:hAnsi="Times New Roman" w:eastAsia="仿宋" w:cs="Times New Roman"/>
                <w:color w:val="000000"/>
                <w:sz w:val="21"/>
                <w:szCs w:val="21"/>
                <w:highlight w:val="none"/>
              </w:rPr>
              <w:t>整提供上述</w:t>
            </w:r>
            <w:r>
              <w:rPr>
                <w:rFonts w:hint="eastAsia" w:ascii="Times New Roman" w:hAnsi="Times New Roman" w:eastAsia="仿宋" w:cs="Times New Roman"/>
                <w:color w:val="000000"/>
                <w:sz w:val="21"/>
                <w:szCs w:val="21"/>
                <w:highlight w:val="none"/>
                <w:lang w:val="en-US" w:eastAsia="zh-CN"/>
              </w:rPr>
              <w:t>3</w:t>
            </w:r>
            <w:r>
              <w:rPr>
                <w:rFonts w:hint="default" w:ascii="Times New Roman" w:hAnsi="Times New Roman" w:eastAsia="仿宋" w:cs="Times New Roman"/>
                <w:color w:val="000000"/>
                <w:sz w:val="21"/>
                <w:szCs w:val="21"/>
                <w:highlight w:val="none"/>
              </w:rPr>
              <w:t>项内容的得</w:t>
            </w:r>
            <w:r>
              <w:rPr>
                <w:rFonts w:hint="eastAsia" w:ascii="Times New Roman" w:hAnsi="Times New Roman" w:eastAsia="仿宋" w:cs="Times New Roman"/>
                <w:color w:val="000000"/>
                <w:sz w:val="21"/>
                <w:szCs w:val="21"/>
                <w:highlight w:val="none"/>
                <w:lang w:val="en-US" w:eastAsia="zh-CN"/>
              </w:rPr>
              <w:t>12</w:t>
            </w:r>
            <w:r>
              <w:rPr>
                <w:rFonts w:hint="default" w:ascii="Times New Roman" w:hAnsi="Times New Roman" w:eastAsia="仿宋" w:cs="Times New Roman"/>
                <w:color w:val="000000"/>
                <w:sz w:val="21"/>
                <w:szCs w:val="21"/>
                <w:highlight w:val="none"/>
              </w:rPr>
              <w:t>分；每有一项未提供扣</w:t>
            </w:r>
            <w:r>
              <w:rPr>
                <w:rFonts w:hint="eastAsia" w:ascii="Times New Roman" w:hAnsi="Times New Roman" w:eastAsia="仿宋" w:cs="Times New Roman"/>
                <w:color w:val="000000"/>
                <w:sz w:val="21"/>
                <w:szCs w:val="21"/>
                <w:highlight w:val="none"/>
                <w:lang w:val="en-US" w:eastAsia="zh-CN"/>
              </w:rPr>
              <w:t>4</w:t>
            </w:r>
            <w:r>
              <w:rPr>
                <w:rFonts w:hint="default" w:ascii="Times New Roman" w:hAnsi="Times New Roman" w:eastAsia="仿宋" w:cs="Times New Roman"/>
                <w:color w:val="000000"/>
                <w:sz w:val="21"/>
                <w:szCs w:val="21"/>
                <w:highlight w:val="none"/>
              </w:rPr>
              <w:t>分，扣完为止；每有一处有缺陷扣</w:t>
            </w:r>
            <w:r>
              <w:rPr>
                <w:rFonts w:hint="eastAsia" w:ascii="Times New Roman" w:hAnsi="Times New Roman" w:eastAsia="仿宋" w:cs="Times New Roman"/>
                <w:color w:val="000000"/>
                <w:sz w:val="21"/>
                <w:szCs w:val="21"/>
                <w:highlight w:val="none"/>
                <w:lang w:val="en-US" w:eastAsia="zh-CN"/>
              </w:rPr>
              <w:t>2</w:t>
            </w:r>
            <w:r>
              <w:rPr>
                <w:rFonts w:hint="default" w:ascii="Times New Roman" w:hAnsi="Times New Roman" w:eastAsia="仿宋" w:cs="Times New Roman"/>
                <w:color w:val="000000"/>
                <w:sz w:val="21"/>
                <w:szCs w:val="21"/>
                <w:highlight w:val="none"/>
              </w:rPr>
              <w:t>分，扣完为止。</w:t>
            </w:r>
          </w:p>
          <w:p w14:paraId="6030E616">
            <w:pPr>
              <w:rPr>
                <w:rFonts w:hint="default" w:ascii="Times New Roman" w:hAnsi="Times New Roman" w:eastAsia="方正仿宋_GBK" w:cs="Times New Roman"/>
                <w:snapToGrid/>
                <w:sz w:val="21"/>
                <w:szCs w:val="21"/>
                <w:highlight w:val="none"/>
                <w:lang w:val="en-US" w:eastAsia="zh-CN"/>
              </w:rPr>
            </w:pPr>
            <w:r>
              <w:rPr>
                <w:rFonts w:hint="default" w:ascii="Times New Roman" w:hAnsi="Times New Roman" w:eastAsia="仿宋" w:cs="Times New Roman"/>
                <w:color w:val="000000"/>
                <w:sz w:val="21"/>
                <w:szCs w:val="21"/>
                <w:highlight w:val="none"/>
              </w:rPr>
              <w:t>（缺陷是指：存在不适用项目实际情况的情形、凭空编造、套用其他项目方案、内容前后不一致、前后逻辑错误、涉及的规范及标准错误、地点区域错误、内容缺失、不符合采购需求、不可能实现的情形等任意一种情形）</w:t>
            </w:r>
          </w:p>
        </w:tc>
        <w:tc>
          <w:tcPr>
            <w:tcW w:w="424" w:type="pct"/>
            <w:tcBorders>
              <w:left w:val="nil"/>
            </w:tcBorders>
            <w:noWrap w:val="0"/>
            <w:vAlign w:val="top"/>
          </w:tcPr>
          <w:p w14:paraId="5373BA20">
            <w:pPr>
              <w:spacing w:line="360" w:lineRule="auto"/>
              <w:rPr>
                <w:rFonts w:hint="default" w:ascii="Times New Roman" w:hAnsi="Times New Roman" w:eastAsia="宋体" w:cs="Times New Roman"/>
                <w:color w:val="000000"/>
                <w:kern w:val="0"/>
                <w:sz w:val="21"/>
                <w:szCs w:val="21"/>
                <w:highlight w:val="none"/>
              </w:rPr>
            </w:pPr>
          </w:p>
        </w:tc>
      </w:tr>
      <w:tr w14:paraId="3E4E0C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55" w:hRule="atLeast"/>
        </w:trPr>
        <w:tc>
          <w:tcPr>
            <w:tcW w:w="251" w:type="pct"/>
            <w:noWrap w:val="0"/>
            <w:vAlign w:val="center"/>
          </w:tcPr>
          <w:p w14:paraId="4354E469">
            <w:pPr>
              <w:spacing w:line="360" w:lineRule="auto"/>
              <w:jc w:val="center"/>
              <w:rPr>
                <w:rFonts w:hint="default" w:ascii="Times New Roman" w:hAnsi="Times New Roman" w:eastAsia="宋体" w:cs="Times New Roman"/>
                <w:color w:val="auto"/>
                <w:kern w:val="0"/>
                <w:szCs w:val="21"/>
                <w:highlight w:val="none"/>
                <w:lang w:val="en-US" w:eastAsia="zh-CN"/>
              </w:rPr>
            </w:pPr>
            <w:r>
              <w:rPr>
                <w:rFonts w:hint="eastAsia" w:ascii="Times New Roman" w:hAnsi="Times New Roman" w:eastAsia="宋体" w:cs="Times New Roman"/>
                <w:color w:val="auto"/>
                <w:kern w:val="0"/>
                <w:szCs w:val="21"/>
                <w:highlight w:val="none"/>
                <w:lang w:val="en-US" w:eastAsia="zh-CN"/>
              </w:rPr>
              <w:t>5</w:t>
            </w:r>
          </w:p>
        </w:tc>
        <w:tc>
          <w:tcPr>
            <w:tcW w:w="646" w:type="pct"/>
            <w:tcBorders>
              <w:left w:val="nil"/>
            </w:tcBorders>
            <w:noWrap w:val="0"/>
            <w:vAlign w:val="center"/>
          </w:tcPr>
          <w:p w14:paraId="28574EB1">
            <w:pPr>
              <w:widowControl/>
              <w:snapToGrid/>
              <w:spacing w:after="0" w:afterLines="0" w:line="240" w:lineRule="auto"/>
              <w:ind w:firstLine="0" w:firstLineChars="0"/>
              <w:jc w:val="center"/>
              <w:rPr>
                <w:rFonts w:hint="default" w:ascii="Times New Roman" w:hAnsi="Times New Roman" w:eastAsia="方正仿宋_GBK" w:cs="Times New Roman"/>
                <w:snapToGrid/>
                <w:sz w:val="21"/>
                <w:szCs w:val="21"/>
                <w:highlight w:val="none"/>
                <w:lang w:val="en-US" w:eastAsia="zh-CN"/>
              </w:rPr>
            </w:pPr>
            <w:r>
              <w:rPr>
                <w:rFonts w:hint="eastAsia" w:ascii="Times New Roman" w:hAnsi="Times New Roman" w:eastAsia="方正仿宋_GBK" w:cs="Times New Roman"/>
                <w:snapToGrid/>
                <w:sz w:val="21"/>
                <w:szCs w:val="21"/>
                <w:highlight w:val="none"/>
                <w:lang w:val="en-US" w:eastAsia="zh-CN"/>
              </w:rPr>
              <w:t>样品要求（6%）</w:t>
            </w:r>
          </w:p>
        </w:tc>
        <w:tc>
          <w:tcPr>
            <w:tcW w:w="276" w:type="pct"/>
            <w:tcBorders>
              <w:left w:val="nil"/>
            </w:tcBorders>
            <w:noWrap w:val="0"/>
            <w:vAlign w:val="center"/>
          </w:tcPr>
          <w:p w14:paraId="24CDECE7">
            <w:pPr>
              <w:widowControl/>
              <w:snapToGrid/>
              <w:spacing w:after="0" w:afterLines="0" w:line="240" w:lineRule="auto"/>
              <w:ind w:firstLine="0" w:firstLineChars="0"/>
              <w:jc w:val="center"/>
              <w:rPr>
                <w:rFonts w:hint="default" w:ascii="Times New Roman" w:hAnsi="Times New Roman" w:eastAsia="方正仿宋_GBK" w:cs="Times New Roman"/>
                <w:snapToGrid/>
                <w:sz w:val="21"/>
                <w:szCs w:val="21"/>
                <w:highlight w:val="none"/>
                <w:lang w:val="en-US" w:eastAsia="zh-CN"/>
              </w:rPr>
            </w:pPr>
            <w:r>
              <w:rPr>
                <w:rFonts w:hint="eastAsia" w:ascii="Times New Roman" w:hAnsi="Times New Roman" w:eastAsia="方正仿宋_GBK" w:cs="Times New Roman"/>
                <w:snapToGrid/>
                <w:sz w:val="21"/>
                <w:szCs w:val="21"/>
                <w:highlight w:val="none"/>
                <w:lang w:val="en-US" w:eastAsia="zh-CN"/>
              </w:rPr>
              <w:t>6分</w:t>
            </w:r>
          </w:p>
        </w:tc>
        <w:tc>
          <w:tcPr>
            <w:tcW w:w="3400" w:type="pct"/>
            <w:tcBorders>
              <w:left w:val="nil"/>
            </w:tcBorders>
            <w:noWrap w:val="0"/>
            <w:vAlign w:val="center"/>
          </w:tcPr>
          <w:p w14:paraId="2750FCDF">
            <w:pPr>
              <w:widowControl/>
              <w:spacing w:afterLines="0" w:line="280" w:lineRule="exact"/>
              <w:jc w:val="left"/>
              <w:rPr>
                <w:rFonts w:hint="default" w:ascii="Times New Roman" w:hAnsi="Times New Roman" w:eastAsia="方正仿宋_GBK" w:cs="Times New Roman"/>
                <w:sz w:val="21"/>
                <w:szCs w:val="21"/>
                <w:highlight w:val="none"/>
              </w:rPr>
            </w:pPr>
            <w:r>
              <w:rPr>
                <w:rFonts w:hint="default" w:ascii="Times New Roman" w:hAnsi="Times New Roman" w:eastAsia="方正仿宋_GBK" w:cs="Times New Roman"/>
                <w:sz w:val="21"/>
                <w:szCs w:val="21"/>
                <w:highlight w:val="none"/>
              </w:rPr>
              <w:t>根据以下要求对</w:t>
            </w:r>
            <w:r>
              <w:rPr>
                <w:rFonts w:hint="eastAsia" w:ascii="Times New Roman" w:hAnsi="Times New Roman" w:eastAsia="方正仿宋_GBK" w:cs="Times New Roman"/>
                <w:sz w:val="21"/>
                <w:szCs w:val="21"/>
                <w:highlight w:val="none"/>
                <w:lang w:val="en-US" w:eastAsia="zh-CN"/>
              </w:rPr>
              <w:t>投标人</w:t>
            </w:r>
            <w:r>
              <w:rPr>
                <w:rFonts w:hint="default" w:ascii="Times New Roman" w:hAnsi="Times New Roman" w:eastAsia="方正仿宋_GBK" w:cs="Times New Roman"/>
                <w:sz w:val="21"/>
                <w:szCs w:val="21"/>
                <w:highlight w:val="none"/>
              </w:rPr>
              <w:t>提供的样品进行</w:t>
            </w:r>
            <w:r>
              <w:rPr>
                <w:rFonts w:hint="eastAsia" w:ascii="Times New Roman" w:hAnsi="Times New Roman" w:eastAsia="方正仿宋_GBK" w:cs="Times New Roman"/>
                <w:sz w:val="21"/>
                <w:szCs w:val="21"/>
                <w:highlight w:val="none"/>
                <w:lang w:val="en-US" w:eastAsia="zh-CN"/>
              </w:rPr>
              <w:t>评审</w:t>
            </w:r>
            <w:r>
              <w:rPr>
                <w:rFonts w:hint="default" w:ascii="Times New Roman" w:hAnsi="Times New Roman" w:eastAsia="方正仿宋_GBK" w:cs="Times New Roman"/>
                <w:sz w:val="21"/>
                <w:szCs w:val="21"/>
                <w:highlight w:val="none"/>
              </w:rPr>
              <w:t>：</w:t>
            </w:r>
          </w:p>
          <w:p w14:paraId="6E9ECF1B">
            <w:pPr>
              <w:widowControl/>
              <w:spacing w:afterLines="0" w:line="280" w:lineRule="exact"/>
              <w:jc w:val="left"/>
              <w:rPr>
                <w:rFonts w:hint="eastAsia" w:ascii="Times New Roman" w:hAnsi="Times New Roman" w:eastAsia="方正仿宋_GBK" w:cs="Times New Roman"/>
                <w:sz w:val="21"/>
                <w:szCs w:val="21"/>
                <w:highlight w:val="none"/>
                <w:lang w:eastAsia="zh-CN"/>
              </w:rPr>
            </w:pPr>
            <w:r>
              <w:rPr>
                <w:rFonts w:hint="default" w:ascii="Times New Roman" w:hAnsi="Times New Roman" w:eastAsia="方正仿宋_GBK" w:cs="Times New Roman"/>
                <w:sz w:val="21"/>
                <w:szCs w:val="21"/>
                <w:highlight w:val="none"/>
                <w:lang w:val="en-US" w:eastAsia="zh-CN"/>
              </w:rPr>
              <w:t>外观：无起泡、无出油、无裂纹、无塌陷、无折皱、无污染、无粉化，无明显色差</w:t>
            </w:r>
            <w:r>
              <w:rPr>
                <w:rFonts w:hint="eastAsia" w:ascii="Times New Roman" w:hAnsi="Times New Roman" w:eastAsia="方正仿宋_GBK" w:cs="Times New Roman"/>
                <w:sz w:val="21"/>
                <w:szCs w:val="21"/>
                <w:highlight w:val="none"/>
                <w:lang w:val="en-US" w:eastAsia="zh-CN"/>
              </w:rPr>
              <w:t>。</w:t>
            </w:r>
            <w:r>
              <w:rPr>
                <w:rFonts w:hint="eastAsia" w:ascii="Times New Roman" w:hAnsi="Times New Roman" w:eastAsia="方正仿宋_GBK" w:cs="Times New Roman"/>
                <w:sz w:val="21"/>
                <w:szCs w:val="21"/>
                <w:highlight w:val="none"/>
                <w:lang w:eastAsia="zh-CN"/>
              </w:rPr>
              <w:t>（</w:t>
            </w:r>
            <w:r>
              <w:rPr>
                <w:rFonts w:hint="eastAsia" w:ascii="Times New Roman" w:hAnsi="Times New Roman" w:eastAsia="方正仿宋_GBK" w:cs="Times New Roman"/>
                <w:sz w:val="21"/>
                <w:szCs w:val="21"/>
                <w:highlight w:val="none"/>
                <w:lang w:val="en-US" w:eastAsia="zh-CN"/>
              </w:rPr>
              <w:t>根据投标人提供样品进行评审：0-6分</w:t>
            </w:r>
            <w:r>
              <w:rPr>
                <w:rFonts w:hint="eastAsia" w:ascii="Times New Roman" w:hAnsi="Times New Roman" w:eastAsia="方正仿宋_GBK" w:cs="Times New Roman"/>
                <w:sz w:val="21"/>
                <w:szCs w:val="21"/>
                <w:highlight w:val="none"/>
                <w:lang w:eastAsia="zh-CN"/>
              </w:rPr>
              <w:t>）</w:t>
            </w:r>
          </w:p>
        </w:tc>
        <w:tc>
          <w:tcPr>
            <w:tcW w:w="424" w:type="pct"/>
            <w:tcBorders>
              <w:left w:val="nil"/>
            </w:tcBorders>
            <w:noWrap w:val="0"/>
            <w:vAlign w:val="top"/>
          </w:tcPr>
          <w:p w14:paraId="1603E105">
            <w:pPr>
              <w:spacing w:line="360" w:lineRule="auto"/>
              <w:rPr>
                <w:rFonts w:hint="default" w:ascii="Times New Roman" w:hAnsi="Times New Roman" w:eastAsia="宋体" w:cs="Times New Roman"/>
                <w:color w:val="000000"/>
                <w:kern w:val="0"/>
                <w:sz w:val="21"/>
                <w:szCs w:val="21"/>
                <w:highlight w:val="none"/>
              </w:rPr>
            </w:pPr>
          </w:p>
        </w:tc>
      </w:tr>
      <w:tr w14:paraId="2C8E37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0" w:hRule="atLeast"/>
        </w:trPr>
        <w:tc>
          <w:tcPr>
            <w:tcW w:w="251" w:type="pct"/>
            <w:noWrap w:val="0"/>
            <w:vAlign w:val="center"/>
          </w:tcPr>
          <w:p w14:paraId="73BA97A6">
            <w:pPr>
              <w:spacing w:line="360" w:lineRule="auto"/>
              <w:jc w:val="center"/>
              <w:rPr>
                <w:rFonts w:hint="default" w:ascii="Times New Roman" w:hAnsi="Times New Roman" w:eastAsia="宋体" w:cs="Times New Roman"/>
                <w:color w:val="auto"/>
                <w:kern w:val="0"/>
                <w:szCs w:val="21"/>
                <w:highlight w:val="none"/>
                <w:lang w:val="en-US" w:eastAsia="zh-CN"/>
              </w:rPr>
            </w:pPr>
            <w:r>
              <w:rPr>
                <w:rFonts w:hint="eastAsia" w:ascii="Times New Roman" w:hAnsi="Times New Roman" w:eastAsia="宋体" w:cs="Times New Roman"/>
                <w:color w:val="auto"/>
                <w:kern w:val="0"/>
                <w:szCs w:val="21"/>
                <w:highlight w:val="none"/>
                <w:lang w:val="en-US" w:eastAsia="zh-CN"/>
              </w:rPr>
              <w:t>6</w:t>
            </w:r>
          </w:p>
        </w:tc>
        <w:tc>
          <w:tcPr>
            <w:tcW w:w="646" w:type="pct"/>
            <w:tcBorders>
              <w:left w:val="nil"/>
            </w:tcBorders>
            <w:noWrap w:val="0"/>
            <w:vAlign w:val="center"/>
          </w:tcPr>
          <w:p w14:paraId="33CF34C7">
            <w:pPr>
              <w:widowControl/>
              <w:snapToGrid/>
              <w:spacing w:after="0" w:afterLines="0" w:line="240" w:lineRule="auto"/>
              <w:ind w:firstLine="0" w:firstLineChars="0"/>
              <w:jc w:val="center"/>
              <w:rPr>
                <w:rFonts w:hint="default" w:ascii="Times New Roman" w:hAnsi="Times New Roman" w:eastAsia="方正仿宋_GBK" w:cs="Times New Roman"/>
                <w:snapToGrid/>
                <w:sz w:val="21"/>
                <w:szCs w:val="21"/>
                <w:highlight w:val="none"/>
                <w:lang w:val="en-US" w:eastAsia="zh-CN"/>
              </w:rPr>
            </w:pPr>
            <w:r>
              <w:rPr>
                <w:rFonts w:hint="eastAsia" w:ascii="Times New Roman" w:hAnsi="Times New Roman" w:eastAsia="方正仿宋_GBK" w:cs="Times New Roman"/>
                <w:snapToGrid/>
                <w:sz w:val="21"/>
                <w:szCs w:val="21"/>
                <w:highlight w:val="none"/>
                <w:lang w:val="en-US" w:eastAsia="zh-CN"/>
              </w:rPr>
              <w:t>铺设效果图（6%）</w:t>
            </w:r>
          </w:p>
        </w:tc>
        <w:tc>
          <w:tcPr>
            <w:tcW w:w="276" w:type="pct"/>
            <w:tcBorders>
              <w:left w:val="nil"/>
            </w:tcBorders>
            <w:noWrap w:val="0"/>
            <w:vAlign w:val="center"/>
          </w:tcPr>
          <w:p w14:paraId="61232336">
            <w:pPr>
              <w:widowControl/>
              <w:snapToGrid/>
              <w:spacing w:after="0" w:afterLines="0" w:line="240" w:lineRule="auto"/>
              <w:ind w:firstLine="0" w:firstLineChars="0"/>
              <w:jc w:val="center"/>
              <w:rPr>
                <w:rFonts w:hint="default" w:ascii="Times New Roman" w:hAnsi="Times New Roman" w:eastAsia="方正仿宋_GBK" w:cs="Times New Roman"/>
                <w:snapToGrid/>
                <w:sz w:val="21"/>
                <w:szCs w:val="21"/>
                <w:highlight w:val="none"/>
                <w:lang w:val="en-US" w:eastAsia="zh-CN"/>
              </w:rPr>
            </w:pPr>
            <w:r>
              <w:rPr>
                <w:rFonts w:hint="eastAsia" w:ascii="Times New Roman" w:hAnsi="Times New Roman" w:eastAsia="方正仿宋_GBK" w:cs="Times New Roman"/>
                <w:snapToGrid/>
                <w:sz w:val="21"/>
                <w:szCs w:val="21"/>
                <w:highlight w:val="none"/>
                <w:lang w:val="en-US" w:eastAsia="zh-CN"/>
              </w:rPr>
              <w:t>6分</w:t>
            </w:r>
          </w:p>
        </w:tc>
        <w:tc>
          <w:tcPr>
            <w:tcW w:w="3400" w:type="pct"/>
            <w:tcBorders>
              <w:left w:val="nil"/>
            </w:tcBorders>
            <w:noWrap w:val="0"/>
            <w:vAlign w:val="center"/>
          </w:tcPr>
          <w:p w14:paraId="6940B3C6">
            <w:pPr>
              <w:jc w:val="center"/>
              <w:rPr>
                <w:rFonts w:hint="eastAsia" w:ascii="Times New Roman" w:hAnsi="Times New Roman" w:eastAsia="仿宋" w:cs="Times New Roman"/>
                <w:color w:val="000000"/>
                <w:sz w:val="21"/>
                <w:szCs w:val="21"/>
                <w:highlight w:val="none"/>
                <w:lang w:val="en-US" w:eastAsia="zh-CN"/>
              </w:rPr>
            </w:pPr>
            <w:r>
              <w:rPr>
                <w:rFonts w:hint="eastAsia" w:ascii="Times New Roman" w:hAnsi="Times New Roman" w:eastAsia="仿宋" w:cs="Times New Roman"/>
                <w:color w:val="000000"/>
                <w:sz w:val="21"/>
                <w:szCs w:val="21"/>
                <w:highlight w:val="none"/>
                <w:lang w:val="en-US" w:eastAsia="zh-CN"/>
              </w:rPr>
              <w:t>根据投标人提供已铺设的类似项目图片或者根据我院实地现场绘制效果图。</w:t>
            </w:r>
          </w:p>
          <w:p w14:paraId="01517410">
            <w:pPr>
              <w:jc w:val="both"/>
              <w:rPr>
                <w:rFonts w:hint="default" w:ascii="Times New Roman" w:hAnsi="Times New Roman" w:eastAsia="仿宋" w:cs="Times New Roman"/>
                <w:color w:val="000000"/>
                <w:sz w:val="21"/>
                <w:szCs w:val="21"/>
                <w:highlight w:val="none"/>
                <w:lang w:val="en-US" w:eastAsia="zh-CN"/>
              </w:rPr>
            </w:pPr>
            <w:r>
              <w:rPr>
                <w:rFonts w:hint="eastAsia" w:ascii="Times New Roman" w:hAnsi="Times New Roman" w:eastAsia="方正仿宋_GBK" w:cs="Times New Roman"/>
                <w:sz w:val="21"/>
                <w:szCs w:val="21"/>
                <w:highlight w:val="none"/>
                <w:lang w:eastAsia="zh-CN"/>
              </w:rPr>
              <w:t>（</w:t>
            </w:r>
            <w:r>
              <w:rPr>
                <w:rFonts w:hint="eastAsia" w:ascii="Times New Roman" w:hAnsi="Times New Roman" w:eastAsia="方正仿宋_GBK" w:cs="Times New Roman"/>
                <w:sz w:val="21"/>
                <w:szCs w:val="21"/>
                <w:highlight w:val="none"/>
                <w:lang w:val="en-US" w:eastAsia="zh-CN"/>
              </w:rPr>
              <w:t>根据投标人提供的效果图进行评审：0-6分</w:t>
            </w:r>
            <w:r>
              <w:rPr>
                <w:rFonts w:hint="eastAsia" w:ascii="Times New Roman" w:hAnsi="Times New Roman" w:eastAsia="方正仿宋_GBK" w:cs="Times New Roman"/>
                <w:sz w:val="21"/>
                <w:szCs w:val="21"/>
                <w:highlight w:val="none"/>
                <w:lang w:eastAsia="zh-CN"/>
              </w:rPr>
              <w:t>）</w:t>
            </w:r>
          </w:p>
        </w:tc>
        <w:tc>
          <w:tcPr>
            <w:tcW w:w="424" w:type="pct"/>
            <w:tcBorders>
              <w:left w:val="nil"/>
            </w:tcBorders>
            <w:noWrap w:val="0"/>
            <w:vAlign w:val="top"/>
          </w:tcPr>
          <w:p w14:paraId="10C9F055">
            <w:pPr>
              <w:spacing w:line="360" w:lineRule="auto"/>
              <w:rPr>
                <w:rFonts w:hint="default" w:ascii="Times New Roman" w:hAnsi="Times New Roman" w:eastAsia="宋体" w:cs="Times New Roman"/>
                <w:color w:val="000000"/>
                <w:kern w:val="0"/>
                <w:sz w:val="21"/>
                <w:szCs w:val="21"/>
                <w:highlight w:val="none"/>
              </w:rPr>
            </w:pPr>
          </w:p>
        </w:tc>
      </w:tr>
    </w:tbl>
    <w:p w14:paraId="0B7E9FC0"/>
    <w:sectPr>
      <w:pgSz w:w="11906" w:h="16838"/>
      <w:pgMar w:top="850" w:right="850" w:bottom="850" w:left="85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FC"/>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1" w:fontKey="{FF7FF366-0EB4-4900-9343-BC35F4E0725C}"/>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embedRegular r:id="rId2" w:fontKey="{92AEFD24-9595-45A9-AB7E-1D5DC8AEC002}"/>
  </w:font>
  <w:font w:name="方正仿宋_GBK">
    <w:panose1 w:val="02000000000000000000"/>
    <w:charset w:val="86"/>
    <w:family w:val="auto"/>
    <w:pitch w:val="default"/>
    <w:sig w:usb0="00000001" w:usb1="080E0000" w:usb2="00000000" w:usb3="00000000" w:csb0="00040000" w:csb1="00000000"/>
    <w:embedRegular r:id="rId3" w:fontKey="{0CCA540B-2620-4A8B-9898-72C49EC14C0B}"/>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8CF029D"/>
    <w:rsid w:val="68CF029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2025-01-10T01:41:00Z</dcterms:created>
  <dc:creator>邱玥</dc:creator>
  <cp:lastModifiedBy>邱玥</cp:lastModifiedBy>
  <dcterms:modified xsi:type="dcterms:W3CDTF">2025-01-10T01:42:41Z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29D2E7C76E5F4BA084EEB883EAF5744E_11</vt:lpwstr>
  </property>
</Properties>
</file>