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B49611">
      <w:pPr>
        <w:jc w:val="left"/>
        <w:rPr>
          <w:rFonts w:hint="default" w:ascii="Times New Roman" w:hAnsi="Times New Roman" w:eastAsia="方正公文小标宋" w:cs="Times New Roman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附件三：</w:t>
      </w:r>
      <w:r>
        <w:rPr>
          <w:rFonts w:hint="eastAsia" w:ascii="华文中宋" w:hAnsi="华文中宋" w:eastAsia="华文中宋"/>
          <w:b/>
          <w:color w:val="000000" w:themeColor="text1"/>
          <w:sz w:val="32"/>
          <w:szCs w:val="22"/>
          <w14:textFill>
            <w14:solidFill>
              <w14:schemeClr w14:val="tx1"/>
            </w14:solidFill>
          </w14:textFill>
        </w:rPr>
        <w:t>综合评分明细表</w:t>
      </w:r>
    </w:p>
    <w:tbl>
      <w:tblPr>
        <w:tblStyle w:val="2"/>
        <w:tblpPr w:leftFromText="180" w:rightFromText="180" w:vertAnchor="text" w:tblpXSpec="center" w:tblpY="1"/>
        <w:tblOverlap w:val="never"/>
        <w:tblW w:w="9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090"/>
        <w:gridCol w:w="1041"/>
        <w:gridCol w:w="5160"/>
        <w:gridCol w:w="1395"/>
      </w:tblGrid>
      <w:tr w14:paraId="4CBE6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75" w:type="dxa"/>
            <w:vAlign w:val="center"/>
          </w:tcPr>
          <w:p w14:paraId="1E839D2B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序号</w:t>
            </w:r>
          </w:p>
        </w:tc>
        <w:tc>
          <w:tcPr>
            <w:tcW w:w="1090" w:type="dxa"/>
            <w:vAlign w:val="center"/>
          </w:tcPr>
          <w:p w14:paraId="1C42F060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评分因素</w:t>
            </w:r>
          </w:p>
          <w:p w14:paraId="045BA1F8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及权重</w:t>
            </w:r>
          </w:p>
        </w:tc>
        <w:tc>
          <w:tcPr>
            <w:tcW w:w="1041" w:type="dxa"/>
            <w:vAlign w:val="center"/>
          </w:tcPr>
          <w:p w14:paraId="348ABE9B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分值</w:t>
            </w:r>
          </w:p>
        </w:tc>
        <w:tc>
          <w:tcPr>
            <w:tcW w:w="5160" w:type="dxa"/>
            <w:vAlign w:val="center"/>
          </w:tcPr>
          <w:p w14:paraId="1F57A109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评分标准</w:t>
            </w:r>
          </w:p>
        </w:tc>
        <w:tc>
          <w:tcPr>
            <w:tcW w:w="1395" w:type="dxa"/>
            <w:vAlign w:val="center"/>
          </w:tcPr>
          <w:p w14:paraId="73F8E34D">
            <w:pPr>
              <w:spacing w:line="4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备注</w:t>
            </w:r>
          </w:p>
        </w:tc>
      </w:tr>
      <w:tr w14:paraId="5B4A7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3" w:hRule="atLeast"/>
          <w:jc w:val="center"/>
        </w:trPr>
        <w:tc>
          <w:tcPr>
            <w:tcW w:w="675" w:type="dxa"/>
            <w:vAlign w:val="center"/>
          </w:tcPr>
          <w:p w14:paraId="7221FDF2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90" w:type="dxa"/>
            <w:vAlign w:val="center"/>
          </w:tcPr>
          <w:p w14:paraId="0CEF6AAA">
            <w:pPr>
              <w:jc w:val="center"/>
              <w:rPr>
                <w:rFonts w:ascii="仿宋" w:hAnsi="仿宋" w:eastAsia="仿宋"/>
                <w:szCs w:val="21"/>
              </w:rPr>
            </w:pPr>
          </w:p>
          <w:p w14:paraId="7C626103"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报价</w:t>
            </w:r>
          </w:p>
          <w:p w14:paraId="7378226C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ascii="仿宋" w:hAnsi="仿宋" w:eastAsia="仿宋"/>
                <w:szCs w:val="21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%）</w:t>
            </w:r>
          </w:p>
          <w:p w14:paraId="19316DD4"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41" w:type="dxa"/>
            <w:vAlign w:val="center"/>
          </w:tcPr>
          <w:p w14:paraId="673114E2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ascii="仿宋" w:hAnsi="仿宋" w:eastAsia="仿宋"/>
                <w:szCs w:val="21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分</w:t>
            </w:r>
          </w:p>
        </w:tc>
        <w:tc>
          <w:tcPr>
            <w:tcW w:w="5160" w:type="dxa"/>
            <w:vAlign w:val="center"/>
          </w:tcPr>
          <w:p w14:paraId="5C769AE4"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满足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投标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文件要求且按照公司营业额的比例自行报送，报价最高的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投标人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的价格为比选基准价，其价格分为满分。其他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投标人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的价格分统一按照下列公式计算：比选报价得分=（最后比选报价/比选基准价）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20%*100</w:t>
            </w:r>
          </w:p>
        </w:tc>
        <w:tc>
          <w:tcPr>
            <w:tcW w:w="1395" w:type="dxa"/>
            <w:vAlign w:val="center"/>
          </w:tcPr>
          <w:p w14:paraId="78FBF3D7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/</w:t>
            </w:r>
          </w:p>
        </w:tc>
      </w:tr>
      <w:tr w14:paraId="72077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3" w:hRule="atLeast"/>
          <w:jc w:val="center"/>
        </w:trPr>
        <w:tc>
          <w:tcPr>
            <w:tcW w:w="675" w:type="dxa"/>
            <w:vAlign w:val="center"/>
          </w:tcPr>
          <w:p w14:paraId="1453B205">
            <w:pPr>
              <w:spacing w:line="400" w:lineRule="exact"/>
              <w:ind w:firstLine="28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</w:p>
        </w:tc>
        <w:tc>
          <w:tcPr>
            <w:tcW w:w="1090" w:type="dxa"/>
            <w:vAlign w:val="center"/>
          </w:tcPr>
          <w:p w14:paraId="138E6A93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项目要求响应（23%）</w:t>
            </w:r>
          </w:p>
        </w:tc>
        <w:tc>
          <w:tcPr>
            <w:tcW w:w="1041" w:type="dxa"/>
            <w:vAlign w:val="center"/>
          </w:tcPr>
          <w:p w14:paraId="239D7105"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23分</w:t>
            </w:r>
          </w:p>
        </w:tc>
        <w:tc>
          <w:tcPr>
            <w:tcW w:w="5160" w:type="dxa"/>
            <w:vAlign w:val="center"/>
          </w:tcPr>
          <w:p w14:paraId="7444B296">
            <w:pPr>
              <w:rPr>
                <w:rFonts w:hint="eastAsia"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1.投标人针对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项目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要求中一般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项目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要求条款的响应得分规则如下：一般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项目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要求条款响应得分=（投标人满足一般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项目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要求条款的数量÷一般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项目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要求条款的总数量）×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分。（共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条，保留至小数点后2位）</w:t>
            </w:r>
          </w:p>
          <w:p w14:paraId="6AC4642F">
            <w:pPr>
              <w:rPr>
                <w:rFonts w:hint="eastAsia"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2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投标人针对 “▲”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项目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要求条款的响应得分规则如下：“</w:t>
            </w:r>
            <w:r>
              <w:rPr>
                <w:rFonts w:hint="eastAsia" w:ascii="仿宋" w:hAnsi="仿宋" w:eastAsia="仿宋"/>
                <w:sz w:val="21"/>
                <w:szCs w:val="21"/>
                <w:highlight w:val="none"/>
              </w:rPr>
              <w:t>▲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”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项目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要求条款响应得分=（投标人满足“▲”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项目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要求条款的数量÷“▲”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项目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要求条款的总数量）×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16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分。（共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条,保留至小数点后2位）</w:t>
            </w:r>
          </w:p>
          <w:p w14:paraId="758B3575">
            <w:pPr>
              <w:rPr>
                <w:rFonts w:hint="eastAsia" w:ascii="仿宋" w:hAnsi="仿宋" w:eastAsia="仿宋"/>
                <w:szCs w:val="21"/>
                <w:highlight w:val="none"/>
              </w:rPr>
            </w:pPr>
          </w:p>
          <w:p w14:paraId="6F03FB22">
            <w:pPr>
              <w:rPr>
                <w:rFonts w:hint="eastAsia"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注：★号条款为实质性要求，不参与本项评分。以一级序号阿拉伯数字（如 “1.”“2.”“3.”……）为一项，阿拉伯数字序号下有多级序号的，以最小级别序号为1项。</w:t>
            </w:r>
          </w:p>
        </w:tc>
        <w:tc>
          <w:tcPr>
            <w:tcW w:w="1395" w:type="dxa"/>
            <w:vAlign w:val="center"/>
          </w:tcPr>
          <w:p w14:paraId="4C036701"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 w14:paraId="2E2A1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8" w:hRule="atLeast"/>
          <w:jc w:val="center"/>
        </w:trPr>
        <w:tc>
          <w:tcPr>
            <w:tcW w:w="675" w:type="dxa"/>
            <w:vAlign w:val="center"/>
          </w:tcPr>
          <w:p w14:paraId="129C125E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</w:p>
        </w:tc>
        <w:tc>
          <w:tcPr>
            <w:tcW w:w="1090" w:type="dxa"/>
            <w:vAlign w:val="center"/>
          </w:tcPr>
          <w:p w14:paraId="15B7AAC4"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服务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方案</w:t>
            </w:r>
          </w:p>
          <w:p w14:paraId="1A9EF4F2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%</w:t>
            </w:r>
            <w:r>
              <w:rPr>
                <w:rFonts w:hint="eastAsia" w:ascii="仿宋" w:hAnsi="仿宋" w:eastAsia="仿宋"/>
                <w:szCs w:val="21"/>
              </w:rPr>
              <w:t>）</w:t>
            </w:r>
          </w:p>
        </w:tc>
        <w:tc>
          <w:tcPr>
            <w:tcW w:w="1041" w:type="dxa"/>
            <w:vAlign w:val="center"/>
          </w:tcPr>
          <w:p w14:paraId="0648E837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30</w:t>
            </w:r>
            <w:r>
              <w:rPr>
                <w:rFonts w:hint="eastAsia" w:ascii="仿宋" w:hAnsi="仿宋" w:eastAsia="仿宋"/>
                <w:szCs w:val="21"/>
              </w:rPr>
              <w:t>分</w:t>
            </w:r>
          </w:p>
        </w:tc>
        <w:tc>
          <w:tcPr>
            <w:tcW w:w="5160" w:type="dxa"/>
            <w:vAlign w:val="center"/>
          </w:tcPr>
          <w:p w14:paraId="724BFBC2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投标人针对本项目提供的服务方案，包括但不限于①安全保障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措施、</w:t>
            </w:r>
            <w:r>
              <w:rPr>
                <w:rFonts w:hint="eastAsia" w:ascii="仿宋" w:hAnsi="仿宋" w:eastAsia="仿宋"/>
                <w:szCs w:val="21"/>
              </w:rPr>
              <w:t>②故障处理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方案、</w:t>
            </w:r>
            <w:r>
              <w:rPr>
                <w:rFonts w:hint="eastAsia" w:ascii="仿宋" w:hAnsi="仿宋" w:eastAsia="仿宋"/>
                <w:szCs w:val="21"/>
              </w:rPr>
              <w:t>③维修保养计划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</w:rPr>
              <w:t>④投诉质疑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解决方案、⑤服务质量保障措施</w:t>
            </w:r>
            <w:r>
              <w:rPr>
                <w:rFonts w:hint="eastAsia" w:ascii="仿宋" w:hAnsi="仿宋" w:eastAsia="仿宋"/>
                <w:szCs w:val="21"/>
              </w:rPr>
              <w:t>，每具有一项前述细化指标内容得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分，每有一处内容存在缺陷，扣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～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分，扣完为止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，不提供不得分</w:t>
            </w:r>
            <w:r>
              <w:rPr>
                <w:rFonts w:hint="eastAsia" w:ascii="仿宋" w:hAnsi="仿宋" w:eastAsia="仿宋"/>
                <w:szCs w:val="21"/>
              </w:rPr>
              <w:t xml:space="preserve">。 </w:t>
            </w:r>
          </w:p>
          <w:p w14:paraId="79D88EF0">
            <w:pPr>
              <w:rPr>
                <w:rFonts w:hint="eastAsia" w:ascii="仿宋" w:hAnsi="仿宋" w:eastAsia="仿宋"/>
                <w:szCs w:val="21"/>
              </w:rPr>
            </w:pPr>
          </w:p>
          <w:p w14:paraId="14BF5A5F"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注：缺陷是指：内容与实际情况不符、内容与项目无关、内容表述错误、内容前后表述矛盾、内容与项目不匹配、项目信息错误、不符合本项目涉及的相关规范或标准要求的任意一种情形。</w:t>
            </w:r>
          </w:p>
        </w:tc>
        <w:tc>
          <w:tcPr>
            <w:tcW w:w="1395" w:type="dxa"/>
            <w:vAlign w:val="center"/>
          </w:tcPr>
          <w:p w14:paraId="04BB39BF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/</w:t>
            </w:r>
          </w:p>
        </w:tc>
      </w:tr>
      <w:tr w14:paraId="6BAF9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0E5E088">
            <w:pPr>
              <w:spacing w:line="400" w:lineRule="exact"/>
              <w:ind w:firstLine="28" w:firstLineChars="0"/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1090" w:type="dxa"/>
            <w:shd w:val="clear" w:color="auto" w:fill="auto"/>
            <w:vAlign w:val="center"/>
          </w:tcPr>
          <w:p w14:paraId="56BB85A3">
            <w:pPr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类似项目业绩（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%</w:t>
            </w:r>
            <w:r>
              <w:rPr>
                <w:rFonts w:hint="eastAsia" w:ascii="仿宋" w:hAnsi="仿宋" w:eastAsia="仿宋"/>
                <w:szCs w:val="21"/>
              </w:rPr>
              <w:t>）</w:t>
            </w:r>
          </w:p>
        </w:tc>
        <w:tc>
          <w:tcPr>
            <w:tcW w:w="1041" w:type="dxa"/>
            <w:shd w:val="clear" w:color="auto" w:fill="auto"/>
            <w:vAlign w:val="center"/>
          </w:tcPr>
          <w:p w14:paraId="4CB2BDFD">
            <w:pPr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分</w:t>
            </w:r>
          </w:p>
        </w:tc>
        <w:tc>
          <w:tcPr>
            <w:tcW w:w="5160" w:type="dxa"/>
            <w:shd w:val="clear" w:color="auto" w:fill="auto"/>
            <w:vAlign w:val="center"/>
          </w:tcPr>
          <w:p w14:paraId="3FA04E86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投标人提供2022年1月1日以来具有类似项目业绩的，每有一个得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分，本项满分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分。注：提供中标通知书、合同复印件加盖投标人公章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。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4D794275">
            <w:pPr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/</w:t>
            </w:r>
          </w:p>
        </w:tc>
      </w:tr>
      <w:tr w14:paraId="79CFF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  <w:jc w:val="center"/>
        </w:trPr>
        <w:tc>
          <w:tcPr>
            <w:tcW w:w="675" w:type="dxa"/>
            <w:vAlign w:val="center"/>
          </w:tcPr>
          <w:p w14:paraId="42765F03">
            <w:pPr>
              <w:spacing w:line="400" w:lineRule="exact"/>
              <w:ind w:firstLine="28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</w:p>
        </w:tc>
        <w:tc>
          <w:tcPr>
            <w:tcW w:w="1090" w:type="dxa"/>
            <w:vAlign w:val="center"/>
          </w:tcPr>
          <w:p w14:paraId="66B151C7"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产品功能</w:t>
            </w:r>
          </w:p>
          <w:p w14:paraId="6A15CC4E"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（7%）</w:t>
            </w:r>
          </w:p>
        </w:tc>
        <w:tc>
          <w:tcPr>
            <w:tcW w:w="1041" w:type="dxa"/>
            <w:vAlign w:val="center"/>
          </w:tcPr>
          <w:p w14:paraId="0863D538"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7分</w:t>
            </w:r>
          </w:p>
        </w:tc>
        <w:tc>
          <w:tcPr>
            <w:tcW w:w="5160" w:type="dxa"/>
            <w:vAlign w:val="center"/>
          </w:tcPr>
          <w:p w14:paraId="36E30D37">
            <w:pPr>
              <w:numPr>
                <w:ilvl w:val="0"/>
                <w:numId w:val="0"/>
              </w:numP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①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充电宝充电接口标识清晰，至少具有Type-C、Lightning、Micro-USB接口三个接口，</w:t>
            </w:r>
          </w:p>
          <w:p w14:paraId="4213FB02">
            <w:pPr>
              <w:numPr>
                <w:ilvl w:val="0"/>
                <w:numId w:val="0"/>
              </w:numPr>
              <w:rPr>
                <w:rFonts w:hint="default" w:ascii="仿宋" w:hAnsi="仿宋" w:eastAsia="仿宋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②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设备具有给充电宝充电功能。满足每项功能得3.5分，不满足或未提供相关功能证明材料的不得分。注：提供相关产品说明书复印件加盖投标人公章</w:t>
            </w:r>
          </w:p>
        </w:tc>
        <w:tc>
          <w:tcPr>
            <w:tcW w:w="1395" w:type="dxa"/>
            <w:vAlign w:val="center"/>
          </w:tcPr>
          <w:p w14:paraId="48E04161"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 w14:paraId="5E2CE7D2">
      <w:bookmarkStart w:id="0" w:name="_GoBack"/>
      <w:bookmarkEnd w:id="0"/>
    </w:p>
    <w:sectPr>
      <w:pgSz w:w="11906" w:h="16838"/>
      <w:pgMar w:top="1417" w:right="1134" w:bottom="141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3804A3"/>
    <w:rsid w:val="513804A3"/>
    <w:rsid w:val="74301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781</Words>
  <Characters>834</Characters>
  <Lines>0</Lines>
  <Paragraphs>0</Paragraphs>
  <TotalTime>1</TotalTime>
  <ScaleCrop>false</ScaleCrop>
  <LinksUpToDate>false</LinksUpToDate>
  <CharactersWithSpaces>837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2025-03-12T01:16:00Z</dcterms:created>
  <dc:creator>邱玥</dc:creator>
  <cp:lastModifiedBy>邱玥</cp:lastModifiedBy>
  <dcterms:modified xsi:type="dcterms:W3CDTF">2025-03-12T02:04:53Z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A9553652A6054945B556BD6350785E86_11</vt:lpwstr>
  </property>
</Properties>
</file>