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DB42A">
      <w:pPr>
        <w:keepNext w:val="0"/>
        <w:keepLines w:val="0"/>
        <w:pageBreakBefore w:val="0"/>
        <w:widowControl w:val="0"/>
        <w:kinsoku/>
        <w:wordWrap/>
        <w:overflowPunct/>
        <w:topLinePunct w:val="0"/>
        <w:autoSpaceDE/>
        <w:autoSpaceDN/>
        <w:bidi w:val="0"/>
        <w:adjustRightInd/>
        <w:snapToGrid/>
        <w:spacing w:line="500" w:lineRule="exact"/>
        <w:jc w:val="left"/>
        <w:textAlignment w:val="auto"/>
        <w:outlineLvl w:val="0"/>
        <w:rPr>
          <w:rFonts w:hint="eastAsia" w:ascii="黑体" w:hAnsi="黑体" w:eastAsia="黑体" w:cs="黑体"/>
          <w:b/>
          <w:bCs/>
          <w:kern w:val="0"/>
          <w:sz w:val="32"/>
          <w:szCs w:val="32"/>
          <w:highlight w:val="none"/>
          <w:lang w:val="en-US" w:eastAsia="zh-CN" w:bidi="ar-SA"/>
        </w:rPr>
      </w:pPr>
      <w:bookmarkStart w:id="0" w:name="_GoBack"/>
      <w:r>
        <w:rPr>
          <w:rFonts w:hint="eastAsia" w:ascii="黑体" w:hAnsi="黑体" w:eastAsia="黑体" w:cs="黑体"/>
          <w:b/>
          <w:bCs/>
          <w:kern w:val="0"/>
          <w:sz w:val="32"/>
          <w:szCs w:val="32"/>
          <w:highlight w:val="none"/>
          <w:lang w:val="en-US" w:eastAsia="zh-CN" w:bidi="ar-SA"/>
        </w:rPr>
        <w:t>附件一、项目需求</w:t>
      </w:r>
    </w:p>
    <w:bookmarkEnd w:id="0"/>
    <w:p w14:paraId="6459D010">
      <w:pPr>
        <w:spacing w:line="500" w:lineRule="exact"/>
        <w:rPr>
          <w:rFonts w:hint="eastAsia"/>
          <w:lang w:eastAsia="zh-CN"/>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13C75358">
      <w:pPr>
        <w:pStyle w:val="2"/>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 xml:space="preserve">一、项目概述     </w:t>
      </w:r>
    </w:p>
    <w:p w14:paraId="773A768B">
      <w:pPr>
        <w:pStyle w:val="2"/>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为贯彻落实健康中国建设工作的重要指示精神及《消除艾滋病、梅毒和乙肝母婴传播行动（2022-2025）》工作要求，为保障感染者权益，促进性别平等，引导社会组织参与消除母婴传播行动，结合我区消除艾梅乙母婴传播工作实际，拟采购消除“艾梅乙”母婴传播宣传服务。</w:t>
      </w:r>
    </w:p>
    <w:p w14:paraId="45D78ABB">
      <w:pPr>
        <w:spacing w:line="44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项目</w:t>
      </w:r>
      <w:r>
        <w:rPr>
          <w:rFonts w:hint="eastAsia" w:ascii="宋体" w:hAnsi="宋体" w:eastAsia="宋体" w:cs="宋体"/>
          <w:color w:val="000000" w:themeColor="text1"/>
          <w:sz w:val="24"/>
          <w:szCs w:val="24"/>
          <w:highlight w:val="none"/>
          <w14:textFill>
            <w14:solidFill>
              <w14:schemeClr w14:val="tx1"/>
            </w14:solidFill>
          </w14:textFill>
        </w:rPr>
        <w:t xml:space="preserve">要求： </w:t>
      </w:r>
    </w:p>
    <w:p w14:paraId="76BFE1D0">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消除艾梅乙母婴传播宣传教育</w:t>
      </w:r>
    </w:p>
    <w:p w14:paraId="111969F7">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按照《消除艾滋病、梅毒和乙肝母婴传播行动计划( 2022-2025年)》要求，在龙泉驿区依托社会组织开展宣传教育和动员检测工作，针对具有感染艾梅乙病毒风险的育龄妇女，重点是流动人口,低收入、跨境等育龄妇女,提供艾梅乙防治健康促进和咨询指导，提高育龄妇女及其家庭对消除艾梅乙母婴传播的认知，向辖区育龄妇女推广安全套使用，倡导安全性行为，促进妇女生殖健康和预防保健工作。</w:t>
      </w:r>
    </w:p>
    <w:p w14:paraId="5890B5DF">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我区青少年，流动人口，低收入、跨境等具有感染艾梅乙病毒风险育龄妇女和孕产妇开展艾梅乙防治和感染者权益保障政策（如反歧视，反家暴政策等）、策略，艾梅乙病毒检测，辖区关怀救助政策，妇女和青少年保护等健康教育，营造支持性社会环境。</w:t>
      </w:r>
    </w:p>
    <w:p w14:paraId="0F1BF818">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育龄妇女干预检测</w:t>
      </w:r>
    </w:p>
    <w:p w14:paraId="2AAA5219">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动员有意愿怀孕的育龄妇女进行孕检及艾梅乙检测。动员发现的孕妇尽早接受艾梅乙检测。将检测阳性的育龄妇女或孕妇转介至当地抗病毒治疗定点机构或妇幼保健机构进行抗病毒治疗及孕期保健。动员单阳家庭配偶/性伴接受艾梅乙检测。活动方式包括但不限于入户宣传、同伴干预、群组宣传、互联网干预及其他工作方式。</w:t>
      </w:r>
    </w:p>
    <w:p w14:paraId="7EB2278E">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艾梅乙病毒感染阳性孕产妇及所生儿童随访管理及关怀救助</w:t>
      </w:r>
    </w:p>
    <w:p w14:paraId="43525FD5">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对以下人群：未治疗的艾滋病病毒感染孕产妇、治疗脱失的艾滋病病毒感染孕产妇、新入组治疗的艾滋病病毒感染孕产妇、服药依从性差的艾滋病病毒感染孕产妇、需要治疗的乙肝阳性孕产妇等人群，提供孕期及产后心理支持，治疗依从性教育，促进并督促其接受孕产期常规检查、入院分娩，动员艾滋病及梅毒病感染孕产妇配偶接受检测，促进艾梅乙感染阳性孕妇所生儿童按要求定期接受健康检查、随访及诊断，动员阳性儿童转介和治疗等服务。</w:t>
      </w:r>
    </w:p>
    <w:p w14:paraId="1619007D">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参与区级母婴阻断管理办公室相关工作</w:t>
      </w:r>
    </w:p>
    <w:p w14:paraId="655DA042">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按照市级管理要求参加消除艾滋病、梅毒和乙肝母婴传播相关培训，每季度接受区级管理办工作督导</w:t>
      </w:r>
      <w:r>
        <w:rPr>
          <w:rFonts w:hint="eastAsia" w:ascii="宋体" w:hAnsi="宋体" w:eastAsia="宋体" w:cs="宋体"/>
          <w:color w:val="000000" w:themeColor="text1"/>
          <w:sz w:val="24"/>
          <w:szCs w:val="24"/>
          <w:lang w:eastAsia="zh-CN"/>
          <w14:textFill>
            <w14:solidFill>
              <w14:schemeClr w14:val="tx1"/>
            </w14:solidFill>
          </w14:textFill>
        </w:rPr>
        <w:t>。</w:t>
      </w:r>
    </w:p>
    <w:p w14:paraId="4771EFA4">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eastAsia"/>
          <w:lang w:val="en-US" w:eastAsia="zh-CN"/>
        </w:rPr>
      </w:pP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三、商务要求</w:t>
      </w:r>
    </w:p>
    <w:p w14:paraId="0BA0A420">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1.履约地点：采购人指定地点</w:t>
      </w:r>
    </w:p>
    <w:p w14:paraId="1CD29E47">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2.工作指标要求</w:t>
      </w:r>
    </w:p>
    <w:p w14:paraId="4661036E">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2.1青少年，流动人口，低收入、跨境等具有感染艾梅乙病毒风险育龄妇女和孕产妇接受消除艾梅乙母婴传播宣传教育人数不低于5000人。</w:t>
      </w:r>
    </w:p>
    <w:p w14:paraId="7FC46A03">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2.2 HIV/梅毒感染孕产妇孕早期接受干预率≥95%。</w:t>
      </w:r>
    </w:p>
    <w:p w14:paraId="51403D36">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2.3艾滋病病毒抗体阳性、需要治疗(病毒载量≥2*10</w:t>
      </w:r>
      <w:r>
        <w:rPr>
          <w:rFonts w:hint="eastAsia" w:ascii="宋体" w:hAnsi="宋体" w:eastAsia="宋体" w:cs="宋体"/>
          <w:color w:val="000000" w:themeColor="text1"/>
          <w:sz w:val="24"/>
          <w:szCs w:val="24"/>
          <w:vertAlign w:val="superscript"/>
          <w:lang w:val="en-US" w:eastAsia="zh-CN"/>
          <w14:textFill>
            <w14:solidFill>
              <w14:schemeClr w14:val="tx1"/>
            </w14:solidFill>
          </w14:textFill>
        </w:rPr>
        <w:t>5</w:t>
      </w:r>
      <w:r>
        <w:rPr>
          <w:rFonts w:hint="eastAsia" w:ascii="宋体" w:hAnsi="宋体" w:eastAsia="宋体" w:cs="宋体"/>
          <w:color w:val="000000" w:themeColor="text1"/>
          <w:sz w:val="24"/>
          <w:szCs w:val="24"/>
          <w:lang w:val="en-US" w:eastAsia="zh-CN"/>
          <w14:textFill>
            <w14:solidFill>
              <w14:schemeClr w14:val="tx1"/>
            </w14:solidFill>
          </w14:textFill>
        </w:rPr>
        <w:t>或E抗原阳性)的乙肝阳性孕产妇每季度至少开展1次、每年至少2次面对面的上述随访管理与关怀救助服务，完成救助个案报告，并动员、转介艾滋病病毒阳性孕产妇及其所生阳性儿童接受抗病毒治疗。</w:t>
      </w:r>
    </w:p>
    <w:p w14:paraId="52202166">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2.4艾梅乙单阳家庭配偶完成检测比例：单阳家庭中阴性配偶接受艾滋病病毒抗体检测的比例不低于95%。</w:t>
      </w:r>
    </w:p>
    <w:p w14:paraId="2463B1DB">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2.5促进艾滋病阳性产妇所生且存活的儿童，18月龄内有明确诊断结果。</w:t>
      </w:r>
    </w:p>
    <w:p w14:paraId="2E1AEE4D">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2.6促进梅毒阳性产妇所生且存活的儿童，18月龄内有明确诊断结果。</w:t>
      </w:r>
    </w:p>
    <w:p w14:paraId="06845D7B">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2.7促进乙肝阳性产妇所生且存活的儿童，12月龄内有明确诊断结果。</w:t>
      </w:r>
    </w:p>
    <w:p w14:paraId="24EBFB9A">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2.8对感染人群制定心理干预方案，定期评估心理干预效果。</w:t>
      </w:r>
    </w:p>
    <w:p w14:paraId="2C65D5A2">
      <w:pPr>
        <w:keepNext w:val="0"/>
        <w:keepLines w:val="0"/>
        <w:pageBreakBefore w:val="0"/>
        <w:widowControl w:val="0"/>
        <w:numPr>
          <w:ilvl w:val="-1"/>
          <w:numId w:val="0"/>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3.付款要求：合同签订后，支付40%合同款项；项目所有工作完成，经科室验收合格后，支付剩合同余款项。</w:t>
      </w:r>
    </w:p>
    <w:p w14:paraId="1B61B0B3">
      <w:pPr>
        <w:pStyle w:val="2"/>
        <w:rPr>
          <w:rFonts w:hint="eastAsia" w:ascii="宋体" w:hAnsi="宋体" w:eastAsia="宋体" w:cs="宋体"/>
          <w:color w:val="000000" w:themeColor="text1"/>
          <w:sz w:val="24"/>
          <w:szCs w:val="24"/>
          <w14:textFill>
            <w14:solidFill>
              <w14:schemeClr w14:val="tx1"/>
            </w14:solidFill>
          </w14:textFill>
        </w:rPr>
      </w:pPr>
    </w:p>
    <w:p w14:paraId="2ECF5630">
      <w:pPr>
        <w:pStyle w:val="2"/>
        <w:rPr>
          <w:rFonts w:hint="eastAsia" w:ascii="宋体" w:hAnsi="宋体" w:eastAsia="宋体" w:cs="宋体"/>
          <w:color w:val="000000" w:themeColor="text1"/>
          <w:sz w:val="24"/>
          <w:szCs w:val="24"/>
          <w14:textFill>
            <w14:solidFill>
              <w14:schemeClr w14:val="tx1"/>
            </w14:solidFill>
          </w14:textFill>
        </w:rPr>
      </w:pPr>
    </w:p>
    <w:p w14:paraId="0E3C5539">
      <w:pPr>
        <w:pStyle w:val="2"/>
        <w:rPr>
          <w:rFonts w:hint="eastAsia" w:ascii="宋体" w:hAnsi="宋体" w:eastAsia="宋体" w:cs="宋体"/>
          <w:color w:val="000000" w:themeColor="text1"/>
          <w:sz w:val="24"/>
          <w:szCs w:val="24"/>
          <w14:textFill>
            <w14:solidFill>
              <w14:schemeClr w14:val="tx1"/>
            </w14:solidFill>
          </w14:textFill>
        </w:rPr>
      </w:pPr>
    </w:p>
    <w:p w14:paraId="0BD1BC09">
      <w:pPr>
        <w:pStyle w:val="2"/>
        <w:rPr>
          <w:rFonts w:hint="eastAsia" w:ascii="宋体" w:hAnsi="宋体" w:eastAsia="宋体" w:cs="宋体"/>
          <w:color w:val="000000" w:themeColor="text1"/>
          <w:sz w:val="24"/>
          <w:szCs w:val="24"/>
          <w14:textFill>
            <w14:solidFill>
              <w14:schemeClr w14:val="tx1"/>
            </w14:solidFill>
          </w14:textFill>
        </w:rPr>
      </w:pPr>
    </w:p>
    <w:p w14:paraId="0620002E">
      <w:pPr>
        <w:pStyle w:val="2"/>
        <w:rPr>
          <w:rFonts w:hint="eastAsia" w:ascii="宋体" w:hAnsi="宋体" w:eastAsia="宋体" w:cs="宋体"/>
          <w:color w:val="000000" w:themeColor="text1"/>
          <w:sz w:val="24"/>
          <w:szCs w:val="24"/>
          <w14:textFill>
            <w14:solidFill>
              <w14:schemeClr w14:val="tx1"/>
            </w14:solidFill>
          </w14:textFill>
        </w:rPr>
      </w:pPr>
    </w:p>
    <w:p w14:paraId="64E4B086">
      <w:pPr>
        <w:pStyle w:val="2"/>
        <w:rPr>
          <w:rFonts w:hint="eastAsia" w:ascii="宋体" w:hAnsi="宋体" w:eastAsia="宋体" w:cs="宋体"/>
          <w:color w:val="000000" w:themeColor="text1"/>
          <w:sz w:val="24"/>
          <w:szCs w:val="24"/>
          <w14:textFill>
            <w14:solidFill>
              <w14:schemeClr w14:val="tx1"/>
            </w14:solidFill>
          </w14:textFill>
        </w:rPr>
      </w:pPr>
    </w:p>
    <w:p w14:paraId="1E0BDD3A"/>
    <w:sectPr>
      <w:pgSz w:w="11906" w:h="16838"/>
      <w:pgMar w:top="1417" w:right="1417" w:bottom="1417"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6D2182"/>
    <w:rsid w:val="7B6D2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2025-03-12T00:49:00Z</dcterms:created>
  <dc:creator>邱玥</dc:creator>
  <cp:lastModifiedBy>邱玥</cp:lastModifiedBy>
  <dcterms:modified xsi:type="dcterms:W3CDTF">2025-03-12T00:50:23Z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52B7E02536C64C11A3C0F827EA3AAFAE_11</vt:lpwstr>
  </property>
</Properties>
</file>