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8DB4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outlineLvl w:val="0"/>
        <w:rPr>
          <w:rFonts w:hint="eastAsia" w:ascii="黑体" w:hAnsi="黑体" w:eastAsia="黑体" w:cs="黑体"/>
          <w:b/>
          <w:bCs/>
          <w:kern w:val="0"/>
          <w:sz w:val="32"/>
          <w:szCs w:val="32"/>
          <w:highlight w:val="none"/>
          <w:lang w:val="en-US" w:eastAsia="zh-CN" w:bidi="ar-SA"/>
        </w:rPr>
      </w:pPr>
      <w:bookmarkStart w:id="0" w:name="_GoBack"/>
      <w:r>
        <w:rPr>
          <w:rFonts w:hint="eastAsia" w:ascii="黑体" w:hAnsi="黑体" w:eastAsia="黑体" w:cs="黑体"/>
          <w:b/>
          <w:bCs/>
          <w:kern w:val="0"/>
          <w:sz w:val="32"/>
          <w:szCs w:val="32"/>
          <w:highlight w:val="none"/>
          <w:lang w:val="en-US" w:eastAsia="zh-CN" w:bidi="ar-SA"/>
        </w:rPr>
        <w:t>附件一、项目需求</w:t>
      </w:r>
    </w:p>
    <w:bookmarkEnd w:id="0"/>
    <w:p w14:paraId="6459D010">
      <w:pPr>
        <w:spacing w:line="500" w:lineRule="exact"/>
        <w:rPr>
          <w:rFonts w:hint="eastAsia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宋体" w:hAnsi="宋体" w:eastAsia="宋体" w:cs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本章中标注“</w:t>
      </w:r>
      <w:r>
        <w:rPr>
          <w:rFonts w:hint="eastAsia" w:ascii="宋体" w:hAnsi="宋体" w:eastAsia="宋体" w:cs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★</w:t>
      </w:r>
      <w:r>
        <w:rPr>
          <w:rFonts w:hint="eastAsia" w:ascii="宋体" w:hAnsi="宋体" w:eastAsia="宋体" w:cs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”的条款为本项目的实质性条款，投标人不满足的，将按照无效投标处理。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2"/>
          <w:highlight w:val="none"/>
          <w:lang w:eastAsia="zh-CN"/>
          <w14:textFill>
            <w14:solidFill>
              <w14:schemeClr w14:val="tx1"/>
            </w14:solidFill>
          </w14:textFill>
        </w:rPr>
        <w:t>）</w:t>
      </w:r>
    </w:p>
    <w:p w14:paraId="13C75358">
      <w:pPr>
        <w:pStyle w:val="2"/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 xml:space="preserve">一、项目概述     </w:t>
      </w:r>
    </w:p>
    <w:p w14:paraId="0D788F0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为确保放射检验设备安全运行，降低辐射暴露风险，确保诊疗环境符合安全规范，保障患者和医护人员的健康，医院拟采购放射诊疗场所辐射检测服务。</w:t>
      </w:r>
    </w:p>
    <w:p w14:paraId="45D78AB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宋体" w:hAnsi="宋体" w:eastAsia="宋体" w:cs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★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项目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 xml:space="preserve">要求： </w:t>
      </w:r>
    </w:p>
    <w:p w14:paraId="374ED7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具体检测服务内容及监测频次要求如下：</w:t>
      </w:r>
    </w:p>
    <w:tbl>
      <w:tblPr>
        <w:tblStyle w:val="4"/>
        <w:tblpPr w:leftFromText="180" w:rightFromText="180" w:vertAnchor="text" w:horzAnchor="page" w:tblpX="1748" w:tblpY="339"/>
        <w:tblOverlap w:val="never"/>
        <w:tblW w:w="4961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6"/>
        <w:gridCol w:w="3915"/>
        <w:gridCol w:w="2108"/>
        <w:gridCol w:w="1077"/>
      </w:tblGrid>
      <w:tr w14:paraId="7B1603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148" w:type="pct"/>
            <w:vAlign w:val="center"/>
          </w:tcPr>
          <w:p w14:paraId="0D4421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2123" w:type="pct"/>
            <w:vAlign w:val="center"/>
          </w:tcPr>
          <w:p w14:paraId="45FE02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  <w:vertAlign w:val="baseline"/>
                <w:lang w:val="en-US" w:eastAsia="zh-CN"/>
              </w:rPr>
              <w:t>项目内容</w:t>
            </w:r>
          </w:p>
        </w:tc>
        <w:tc>
          <w:tcPr>
            <w:tcW w:w="1143" w:type="pct"/>
            <w:vAlign w:val="center"/>
          </w:tcPr>
          <w:p w14:paraId="2D3CA9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  <w:vertAlign w:val="baseline"/>
                <w:lang w:eastAsia="zh-CN"/>
              </w:rPr>
              <w:t>监测频次</w:t>
            </w:r>
          </w:p>
        </w:tc>
        <w:tc>
          <w:tcPr>
            <w:tcW w:w="584" w:type="pct"/>
            <w:vAlign w:val="center"/>
          </w:tcPr>
          <w:p w14:paraId="2CCEA0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  <w:vertAlign w:val="baseline"/>
                <w:lang w:eastAsia="zh-CN"/>
              </w:rPr>
              <w:t>数量</w:t>
            </w:r>
          </w:p>
        </w:tc>
      </w:tr>
      <w:tr w14:paraId="0E6F6C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148" w:type="pct"/>
            <w:vMerge w:val="restart"/>
            <w:vAlign w:val="center"/>
          </w:tcPr>
          <w:p w14:paraId="085AEC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DR成像系统</w:t>
            </w:r>
          </w:p>
        </w:tc>
        <w:tc>
          <w:tcPr>
            <w:tcW w:w="2123" w:type="pct"/>
            <w:vAlign w:val="center"/>
          </w:tcPr>
          <w:p w14:paraId="5CCA53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稳定性检测</w:t>
            </w:r>
          </w:p>
        </w:tc>
        <w:tc>
          <w:tcPr>
            <w:tcW w:w="1143" w:type="pct"/>
            <w:vAlign w:val="center"/>
          </w:tcPr>
          <w:p w14:paraId="08BC53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1年/4次</w:t>
            </w:r>
          </w:p>
        </w:tc>
        <w:tc>
          <w:tcPr>
            <w:tcW w:w="584" w:type="pct"/>
            <w:vMerge w:val="restart"/>
            <w:vAlign w:val="center"/>
          </w:tcPr>
          <w:p w14:paraId="7A45D9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1台</w:t>
            </w:r>
          </w:p>
        </w:tc>
      </w:tr>
      <w:tr w14:paraId="5FD95C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148" w:type="pct"/>
            <w:vMerge w:val="continue"/>
            <w:vAlign w:val="center"/>
          </w:tcPr>
          <w:p w14:paraId="07C3F4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23" w:type="pct"/>
            <w:vAlign w:val="center"/>
          </w:tcPr>
          <w:p w14:paraId="2A9F54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性能检测、辐射监测</w:t>
            </w:r>
          </w:p>
        </w:tc>
        <w:tc>
          <w:tcPr>
            <w:tcW w:w="1143" w:type="pct"/>
            <w:vAlign w:val="center"/>
          </w:tcPr>
          <w:p w14:paraId="35154F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1年/1次</w:t>
            </w:r>
          </w:p>
        </w:tc>
        <w:tc>
          <w:tcPr>
            <w:tcW w:w="584" w:type="pct"/>
            <w:vMerge w:val="continue"/>
            <w:vAlign w:val="center"/>
          </w:tcPr>
          <w:p w14:paraId="539C75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</w:tr>
      <w:tr w14:paraId="023B97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148" w:type="pct"/>
            <w:vMerge w:val="restart"/>
            <w:vAlign w:val="center"/>
          </w:tcPr>
          <w:p w14:paraId="6D5564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移动式X射线机</w:t>
            </w:r>
          </w:p>
        </w:tc>
        <w:tc>
          <w:tcPr>
            <w:tcW w:w="2123" w:type="pct"/>
            <w:vAlign w:val="center"/>
          </w:tcPr>
          <w:p w14:paraId="598F1A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稳定性检测</w:t>
            </w:r>
          </w:p>
        </w:tc>
        <w:tc>
          <w:tcPr>
            <w:tcW w:w="1143" w:type="pct"/>
            <w:vAlign w:val="center"/>
          </w:tcPr>
          <w:p w14:paraId="77E3CE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1年/4次</w:t>
            </w:r>
          </w:p>
        </w:tc>
        <w:tc>
          <w:tcPr>
            <w:tcW w:w="584" w:type="pct"/>
            <w:vMerge w:val="restart"/>
            <w:vAlign w:val="center"/>
          </w:tcPr>
          <w:p w14:paraId="394789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1台</w:t>
            </w:r>
          </w:p>
        </w:tc>
      </w:tr>
      <w:tr w14:paraId="6C2B82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148" w:type="pct"/>
            <w:vMerge w:val="continue"/>
            <w:vAlign w:val="center"/>
          </w:tcPr>
          <w:p w14:paraId="7342AF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23" w:type="pct"/>
            <w:vAlign w:val="center"/>
          </w:tcPr>
          <w:p w14:paraId="7736D2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性能检测、辐射监测</w:t>
            </w:r>
          </w:p>
        </w:tc>
        <w:tc>
          <w:tcPr>
            <w:tcW w:w="1143" w:type="pct"/>
            <w:vAlign w:val="center"/>
          </w:tcPr>
          <w:p w14:paraId="3D82FA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1年/1次</w:t>
            </w:r>
          </w:p>
        </w:tc>
        <w:tc>
          <w:tcPr>
            <w:tcW w:w="584" w:type="pct"/>
            <w:vMerge w:val="continue"/>
            <w:vAlign w:val="center"/>
          </w:tcPr>
          <w:p w14:paraId="28B379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</w:tr>
      <w:tr w14:paraId="7B6D20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148" w:type="pct"/>
            <w:vMerge w:val="restart"/>
            <w:vAlign w:val="center"/>
          </w:tcPr>
          <w:p w14:paraId="0B2D53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X射线计算机体层摄影（方舱CT）</w:t>
            </w:r>
          </w:p>
        </w:tc>
        <w:tc>
          <w:tcPr>
            <w:tcW w:w="2123" w:type="pct"/>
            <w:vAlign w:val="center"/>
          </w:tcPr>
          <w:p w14:paraId="5B0BAD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稳定性检测</w:t>
            </w:r>
          </w:p>
        </w:tc>
        <w:tc>
          <w:tcPr>
            <w:tcW w:w="1143" w:type="pct"/>
            <w:vAlign w:val="center"/>
          </w:tcPr>
          <w:p w14:paraId="6A3F5B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1年/12次</w:t>
            </w:r>
          </w:p>
        </w:tc>
        <w:tc>
          <w:tcPr>
            <w:tcW w:w="584" w:type="pct"/>
            <w:vMerge w:val="restart"/>
            <w:vAlign w:val="center"/>
          </w:tcPr>
          <w:p w14:paraId="5A55A4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1台</w:t>
            </w:r>
          </w:p>
        </w:tc>
      </w:tr>
      <w:tr w14:paraId="7E70A8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148" w:type="pct"/>
            <w:vMerge w:val="continue"/>
            <w:vAlign w:val="center"/>
          </w:tcPr>
          <w:p w14:paraId="5B1D64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23" w:type="pct"/>
            <w:vAlign w:val="center"/>
          </w:tcPr>
          <w:p w14:paraId="62621F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性能检测、辐射监测</w:t>
            </w:r>
          </w:p>
        </w:tc>
        <w:tc>
          <w:tcPr>
            <w:tcW w:w="1143" w:type="pct"/>
            <w:vAlign w:val="center"/>
          </w:tcPr>
          <w:p w14:paraId="7106B7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1年/1次</w:t>
            </w:r>
          </w:p>
        </w:tc>
        <w:tc>
          <w:tcPr>
            <w:tcW w:w="584" w:type="pct"/>
            <w:vMerge w:val="continue"/>
            <w:vAlign w:val="center"/>
          </w:tcPr>
          <w:p w14:paraId="0E60A6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</w:tr>
      <w:tr w14:paraId="1D9BD6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148" w:type="pct"/>
            <w:vMerge w:val="restart"/>
            <w:vAlign w:val="center"/>
          </w:tcPr>
          <w:p w14:paraId="6736BD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数字化乳腺X射线系统</w:t>
            </w:r>
          </w:p>
        </w:tc>
        <w:tc>
          <w:tcPr>
            <w:tcW w:w="2123" w:type="pct"/>
            <w:vAlign w:val="center"/>
          </w:tcPr>
          <w:p w14:paraId="24AE9D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稳定性检测</w:t>
            </w:r>
          </w:p>
        </w:tc>
        <w:tc>
          <w:tcPr>
            <w:tcW w:w="1143" w:type="pct"/>
            <w:vAlign w:val="center"/>
          </w:tcPr>
          <w:p w14:paraId="63AF8D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1年/4次</w:t>
            </w:r>
          </w:p>
        </w:tc>
        <w:tc>
          <w:tcPr>
            <w:tcW w:w="584" w:type="pct"/>
            <w:vMerge w:val="restart"/>
            <w:vAlign w:val="center"/>
          </w:tcPr>
          <w:p w14:paraId="71C0D9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1台</w:t>
            </w:r>
          </w:p>
        </w:tc>
      </w:tr>
      <w:tr w14:paraId="11D02F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148" w:type="pct"/>
            <w:vMerge w:val="continue"/>
            <w:vAlign w:val="center"/>
          </w:tcPr>
          <w:p w14:paraId="08CA53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23" w:type="pct"/>
            <w:vAlign w:val="center"/>
          </w:tcPr>
          <w:p w14:paraId="57CD63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性能检测、辐射监测</w:t>
            </w:r>
          </w:p>
        </w:tc>
        <w:tc>
          <w:tcPr>
            <w:tcW w:w="1143" w:type="pct"/>
            <w:vAlign w:val="center"/>
          </w:tcPr>
          <w:p w14:paraId="34408E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1年/1次</w:t>
            </w:r>
          </w:p>
        </w:tc>
        <w:tc>
          <w:tcPr>
            <w:tcW w:w="584" w:type="pct"/>
            <w:vMerge w:val="continue"/>
            <w:vAlign w:val="center"/>
          </w:tcPr>
          <w:p w14:paraId="412D08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</w:tr>
      <w:tr w14:paraId="22A11E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148" w:type="pct"/>
            <w:vMerge w:val="restart"/>
            <w:vAlign w:val="center"/>
          </w:tcPr>
          <w:p w14:paraId="718514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口腔颌面锥形束计算机体层摄影设备</w:t>
            </w:r>
          </w:p>
        </w:tc>
        <w:tc>
          <w:tcPr>
            <w:tcW w:w="2123" w:type="pct"/>
            <w:vAlign w:val="center"/>
          </w:tcPr>
          <w:p w14:paraId="6EC997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稳定性检测</w:t>
            </w:r>
          </w:p>
        </w:tc>
        <w:tc>
          <w:tcPr>
            <w:tcW w:w="1143" w:type="pct"/>
            <w:vAlign w:val="center"/>
          </w:tcPr>
          <w:p w14:paraId="123EE6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1年/4次</w:t>
            </w:r>
          </w:p>
        </w:tc>
        <w:tc>
          <w:tcPr>
            <w:tcW w:w="584" w:type="pct"/>
            <w:vMerge w:val="restart"/>
            <w:vAlign w:val="center"/>
          </w:tcPr>
          <w:p w14:paraId="71A183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1台</w:t>
            </w:r>
          </w:p>
        </w:tc>
      </w:tr>
      <w:tr w14:paraId="247013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148" w:type="pct"/>
            <w:vMerge w:val="continue"/>
            <w:vAlign w:val="center"/>
          </w:tcPr>
          <w:p w14:paraId="2911E9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23" w:type="pct"/>
            <w:vAlign w:val="center"/>
          </w:tcPr>
          <w:p w14:paraId="17DDC4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性能检测、辐射监测</w:t>
            </w:r>
          </w:p>
        </w:tc>
        <w:tc>
          <w:tcPr>
            <w:tcW w:w="1143" w:type="pct"/>
            <w:vAlign w:val="center"/>
          </w:tcPr>
          <w:p w14:paraId="1719A2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1年/1次</w:t>
            </w:r>
          </w:p>
        </w:tc>
        <w:tc>
          <w:tcPr>
            <w:tcW w:w="584" w:type="pct"/>
            <w:vMerge w:val="continue"/>
            <w:vAlign w:val="center"/>
          </w:tcPr>
          <w:p w14:paraId="635F8D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</w:tr>
      <w:tr w14:paraId="79BD52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7" w:hRule="exact"/>
        </w:trPr>
        <w:tc>
          <w:tcPr>
            <w:tcW w:w="1148" w:type="pct"/>
            <w:vAlign w:val="center"/>
          </w:tcPr>
          <w:p w14:paraId="1E2FCC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个人剂量</w:t>
            </w:r>
          </w:p>
        </w:tc>
        <w:tc>
          <w:tcPr>
            <w:tcW w:w="2123" w:type="pct"/>
            <w:vAlign w:val="center"/>
          </w:tcPr>
          <w:p w14:paraId="3ED476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个剂量监测</w:t>
            </w:r>
          </w:p>
          <w:p w14:paraId="07D008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（特别说明：服务期内，个人剂量检测人员数量增加不超过2人，总服务费用不变）</w:t>
            </w:r>
          </w:p>
        </w:tc>
        <w:tc>
          <w:tcPr>
            <w:tcW w:w="1143" w:type="pct"/>
            <w:vAlign w:val="center"/>
          </w:tcPr>
          <w:p w14:paraId="1E986A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1年/4次</w:t>
            </w:r>
          </w:p>
        </w:tc>
        <w:tc>
          <w:tcPr>
            <w:tcW w:w="584" w:type="pct"/>
            <w:vAlign w:val="center"/>
          </w:tcPr>
          <w:p w14:paraId="1146F3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11人</w:t>
            </w:r>
          </w:p>
        </w:tc>
      </w:tr>
    </w:tbl>
    <w:p w14:paraId="3BA2C524"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26421361"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72C4BCEB"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0ACD9D47"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4771EFA4"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★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三、商务要求</w:t>
      </w:r>
    </w:p>
    <w:p w14:paraId="0BA0A4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1.履约地点：采购人指定地点</w:t>
      </w:r>
    </w:p>
    <w:p w14:paraId="4DF75B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2.服务期限：服务期三年，合同一年一签，年终采购人对供应商的服务情况做全面评价，评价合格，可协商签订下一年度合作合同。</w:t>
      </w:r>
    </w:p>
    <w:p w14:paraId="1F5F82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3.付款方式：供应商出具本季度应该完成的检测项目的报告后，提交合法等额的增值税发票，采购人按照按季度进行付款。</w:t>
      </w:r>
    </w:p>
    <w:p w14:paraId="0906579A"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4.其他要求</w:t>
      </w:r>
    </w:p>
    <w:p w14:paraId="3B11E3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240" w:firstLineChars="100"/>
        <w:jc w:val="left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4.1供应商应按照国家相关标准要求开展工作，并依据各级部门标准规范对检测结果进行客观、公证、科学、准确的判断，对于在开展工作过程中发现问题需及时与采购人沟通。</w:t>
      </w:r>
    </w:p>
    <w:p w14:paraId="7C060B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240" w:firstLineChars="100"/>
        <w:jc w:val="left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4.2供应商在现场检测任务完成后10个工作日内以书面形式向采购人出具合格的检测报告；有整改项目应该在项目整改复测后10个工作日内以书面形式向采购人出具检测报告。所有报告均需提供电子版、纸质版报告一式两份。</w:t>
      </w:r>
    </w:p>
    <w:p w14:paraId="3151B8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240" w:firstLineChars="100"/>
        <w:jc w:val="left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4.3供应商须提供个人辐射剂量检测仪，仪器后期邮寄、维修、保养或更换费用均由供应商自行负责。</w:t>
      </w:r>
    </w:p>
    <w:p w14:paraId="338978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240" w:firstLineChars="100"/>
        <w:jc w:val="left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4.4供应商出具的报告需符合行业规范及主管部门要求。</w:t>
      </w:r>
    </w:p>
    <w:p w14:paraId="63C9B0E7">
      <w:pPr>
        <w:pStyle w:val="2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3CB33CCA">
      <w:pPr>
        <w:pStyle w:val="2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487F4F56">
      <w:pPr>
        <w:pStyle w:val="2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6AFF3CBC">
      <w:pPr>
        <w:pStyle w:val="2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26DC9A7E">
      <w:pPr>
        <w:pStyle w:val="2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4EE8D19B">
      <w:pPr>
        <w:pStyle w:val="2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78AB820F">
      <w:pPr>
        <w:pStyle w:val="2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7CAB8622">
      <w:pPr>
        <w:pStyle w:val="2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11690414">
      <w:pPr>
        <w:pStyle w:val="2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52481606">
      <w:pPr>
        <w:pStyle w:val="2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2C3C0223">
      <w:pPr>
        <w:pStyle w:val="2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17CABB29">
      <w:pPr>
        <w:pStyle w:val="2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71E9BA38">
      <w:pPr>
        <w:pStyle w:val="2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571B51BC"/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9A0796"/>
    <w:rsid w:val="689A0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2025-03-12T01:07:00Z</dcterms:created>
  <dc:creator>邱玥</dc:creator>
  <cp:lastModifiedBy>邱玥</cp:lastModifiedBy>
  <dcterms:modified xsi:type="dcterms:W3CDTF">2025-03-12T01:08:41Z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9BB9017E9AF34AE5A00E9B097C862677_11</vt:lpwstr>
  </property>
</Properties>
</file>