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3C841">
      <w:pPr>
        <w:jc w:val="left"/>
        <w:rPr>
          <w:rFonts w:hint="eastAsia" w:ascii="华文中宋" w:hAnsi="华文中宋" w:eastAsia="华文中宋"/>
          <w:b/>
          <w:sz w:val="32"/>
          <w:szCs w:val="22"/>
        </w:rPr>
      </w:pPr>
      <w:bookmarkStart w:id="0" w:name="_Hlt101233737"/>
      <w:bookmarkEnd w:id="0"/>
      <w:bookmarkStart w:id="1" w:name="_Hlt101843627"/>
      <w:bookmarkEnd w:id="1"/>
      <w:r>
        <w:rPr>
          <w:rFonts w:hint="eastAsia" w:ascii="华文中宋" w:hAnsi="华文中宋" w:eastAsia="华文中宋"/>
          <w:b/>
          <w:sz w:val="32"/>
          <w:lang w:val="en-US" w:eastAsia="zh-CN"/>
        </w:rPr>
        <w:t>附件3：</w:t>
      </w:r>
      <w:r>
        <w:rPr>
          <w:rFonts w:hint="eastAsia" w:ascii="华文中宋" w:hAnsi="华文中宋" w:eastAsia="华文中宋"/>
          <w:b/>
          <w:sz w:val="32"/>
          <w:szCs w:val="22"/>
        </w:rPr>
        <w:t>综合评分明细表</w:t>
      </w:r>
    </w:p>
    <w:tbl>
      <w:tblPr>
        <w:tblStyle w:val="13"/>
        <w:tblpPr w:leftFromText="180" w:rightFromText="180" w:vertAnchor="text" w:tblpX="-195" w:tblpY="1"/>
        <w:tblOverlap w:val="never"/>
        <w:tblW w:w="106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5"/>
        <w:gridCol w:w="795"/>
        <w:gridCol w:w="6135"/>
        <w:gridCol w:w="810"/>
        <w:gridCol w:w="925"/>
      </w:tblGrid>
      <w:tr w14:paraId="3D7AE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2" w:hRule="atLeast"/>
        </w:trPr>
        <w:tc>
          <w:tcPr>
            <w:tcW w:w="675" w:type="dxa"/>
            <w:vAlign w:val="center"/>
          </w:tcPr>
          <w:p w14:paraId="54A1B28E">
            <w:pPr>
              <w:keepNext w:val="0"/>
              <w:keepLines w:val="0"/>
              <w:pageBreakBefore w:val="0"/>
              <w:kinsoku/>
              <w:overflowPunct/>
              <w:topLinePunct w:val="0"/>
              <w:autoSpaceDE/>
              <w:autoSpaceDN/>
              <w:bidi w:val="0"/>
              <w:spacing w:line="440" w:lineRule="exact"/>
              <w:ind w:firstLine="28"/>
              <w:jc w:val="center"/>
              <w:rPr>
                <w:rFonts w:ascii="仿宋" w:hAnsi="仿宋" w:eastAsia="仿宋"/>
                <w:szCs w:val="21"/>
                <w:highlight w:val="none"/>
              </w:rPr>
            </w:pPr>
            <w:r>
              <w:rPr>
                <w:rFonts w:hint="eastAsia" w:ascii="仿宋" w:hAnsi="仿宋" w:eastAsia="仿宋"/>
                <w:szCs w:val="21"/>
                <w:highlight w:val="none"/>
              </w:rPr>
              <w:t>序号</w:t>
            </w:r>
          </w:p>
        </w:tc>
        <w:tc>
          <w:tcPr>
            <w:tcW w:w="1275" w:type="dxa"/>
            <w:vAlign w:val="center"/>
          </w:tcPr>
          <w:p w14:paraId="1F805C4E">
            <w:pPr>
              <w:keepNext w:val="0"/>
              <w:keepLines w:val="0"/>
              <w:pageBreakBefore w:val="0"/>
              <w:kinsoku/>
              <w:overflowPunct/>
              <w:topLinePunct w:val="0"/>
              <w:autoSpaceDE/>
              <w:autoSpaceDN/>
              <w:bidi w:val="0"/>
              <w:spacing w:line="440" w:lineRule="exact"/>
              <w:ind w:firstLine="28"/>
              <w:jc w:val="center"/>
              <w:rPr>
                <w:rFonts w:ascii="仿宋" w:hAnsi="仿宋" w:eastAsia="仿宋"/>
                <w:szCs w:val="21"/>
                <w:highlight w:val="none"/>
              </w:rPr>
            </w:pPr>
            <w:r>
              <w:rPr>
                <w:rFonts w:hint="eastAsia" w:ascii="仿宋" w:hAnsi="仿宋" w:eastAsia="仿宋"/>
                <w:szCs w:val="21"/>
                <w:highlight w:val="none"/>
              </w:rPr>
              <w:t>评分因素</w:t>
            </w:r>
          </w:p>
          <w:p w14:paraId="330F1355">
            <w:pPr>
              <w:keepNext w:val="0"/>
              <w:keepLines w:val="0"/>
              <w:pageBreakBefore w:val="0"/>
              <w:kinsoku/>
              <w:overflowPunct/>
              <w:topLinePunct w:val="0"/>
              <w:autoSpaceDE/>
              <w:autoSpaceDN/>
              <w:bidi w:val="0"/>
              <w:spacing w:line="440" w:lineRule="exact"/>
              <w:ind w:firstLine="28"/>
              <w:jc w:val="center"/>
              <w:rPr>
                <w:rFonts w:ascii="仿宋" w:hAnsi="仿宋" w:eastAsia="仿宋"/>
                <w:szCs w:val="21"/>
                <w:highlight w:val="none"/>
              </w:rPr>
            </w:pPr>
            <w:r>
              <w:rPr>
                <w:rFonts w:hint="eastAsia" w:ascii="仿宋" w:hAnsi="仿宋" w:eastAsia="仿宋"/>
                <w:szCs w:val="21"/>
                <w:highlight w:val="none"/>
              </w:rPr>
              <w:t>及权重</w:t>
            </w:r>
          </w:p>
        </w:tc>
        <w:tc>
          <w:tcPr>
            <w:tcW w:w="795" w:type="dxa"/>
            <w:vAlign w:val="center"/>
          </w:tcPr>
          <w:p w14:paraId="33805582">
            <w:pPr>
              <w:keepNext w:val="0"/>
              <w:keepLines w:val="0"/>
              <w:pageBreakBefore w:val="0"/>
              <w:kinsoku/>
              <w:overflowPunct/>
              <w:topLinePunct w:val="0"/>
              <w:autoSpaceDE/>
              <w:autoSpaceDN/>
              <w:bidi w:val="0"/>
              <w:spacing w:line="440" w:lineRule="exact"/>
              <w:ind w:firstLine="28"/>
              <w:jc w:val="center"/>
              <w:rPr>
                <w:rFonts w:ascii="仿宋" w:hAnsi="仿宋" w:eastAsia="仿宋"/>
                <w:szCs w:val="21"/>
                <w:highlight w:val="none"/>
              </w:rPr>
            </w:pPr>
            <w:r>
              <w:rPr>
                <w:rFonts w:hint="eastAsia" w:ascii="仿宋" w:hAnsi="仿宋" w:eastAsia="仿宋"/>
                <w:szCs w:val="21"/>
                <w:highlight w:val="none"/>
              </w:rPr>
              <w:t>分值</w:t>
            </w:r>
          </w:p>
        </w:tc>
        <w:tc>
          <w:tcPr>
            <w:tcW w:w="6135" w:type="dxa"/>
            <w:vAlign w:val="center"/>
          </w:tcPr>
          <w:p w14:paraId="50C2DE03">
            <w:pPr>
              <w:keepNext w:val="0"/>
              <w:keepLines w:val="0"/>
              <w:pageBreakBefore w:val="0"/>
              <w:kinsoku/>
              <w:overflowPunct/>
              <w:topLinePunct w:val="0"/>
              <w:autoSpaceDE/>
              <w:autoSpaceDN/>
              <w:bidi w:val="0"/>
              <w:spacing w:line="440" w:lineRule="exact"/>
              <w:ind w:firstLine="28"/>
              <w:jc w:val="center"/>
              <w:rPr>
                <w:rFonts w:ascii="仿宋" w:hAnsi="仿宋" w:eastAsia="仿宋"/>
                <w:szCs w:val="21"/>
                <w:highlight w:val="none"/>
              </w:rPr>
            </w:pPr>
            <w:r>
              <w:rPr>
                <w:rFonts w:hint="eastAsia" w:ascii="仿宋" w:hAnsi="仿宋" w:eastAsia="仿宋"/>
                <w:szCs w:val="21"/>
                <w:highlight w:val="none"/>
              </w:rPr>
              <w:t>评分标准</w:t>
            </w:r>
          </w:p>
        </w:tc>
        <w:tc>
          <w:tcPr>
            <w:tcW w:w="810" w:type="dxa"/>
            <w:vAlign w:val="center"/>
          </w:tcPr>
          <w:p w14:paraId="52078C6C">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备注</w:t>
            </w:r>
          </w:p>
        </w:tc>
        <w:tc>
          <w:tcPr>
            <w:tcW w:w="925" w:type="dxa"/>
            <w:vAlign w:val="center"/>
          </w:tcPr>
          <w:p w14:paraId="64FD635A">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说明</w:t>
            </w:r>
          </w:p>
        </w:tc>
      </w:tr>
      <w:tr w14:paraId="1ABD9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675" w:type="dxa"/>
            <w:vAlign w:val="center"/>
          </w:tcPr>
          <w:p w14:paraId="65FD1308">
            <w:pPr>
              <w:keepNext w:val="0"/>
              <w:keepLines w:val="0"/>
              <w:pageBreakBefore w:val="0"/>
              <w:kinsoku/>
              <w:overflowPunct/>
              <w:topLinePunct w:val="0"/>
              <w:autoSpaceDE/>
              <w:autoSpaceDN/>
              <w:bidi w:val="0"/>
              <w:spacing w:line="440" w:lineRule="exact"/>
              <w:ind w:firstLine="28"/>
              <w:jc w:val="center"/>
              <w:rPr>
                <w:rFonts w:ascii="仿宋" w:hAnsi="仿宋" w:eastAsia="仿宋"/>
                <w:szCs w:val="21"/>
                <w:highlight w:val="none"/>
              </w:rPr>
            </w:pPr>
            <w:r>
              <w:rPr>
                <w:rFonts w:hint="eastAsia" w:ascii="仿宋" w:hAnsi="仿宋" w:eastAsia="仿宋"/>
                <w:szCs w:val="21"/>
                <w:highlight w:val="none"/>
              </w:rPr>
              <w:t>1</w:t>
            </w:r>
          </w:p>
        </w:tc>
        <w:tc>
          <w:tcPr>
            <w:tcW w:w="1275" w:type="dxa"/>
            <w:vAlign w:val="center"/>
          </w:tcPr>
          <w:p w14:paraId="638A2690">
            <w:pPr>
              <w:keepNext w:val="0"/>
              <w:keepLines w:val="0"/>
              <w:pageBreakBefore w:val="0"/>
              <w:kinsoku/>
              <w:overflowPunct/>
              <w:topLinePunct w:val="0"/>
              <w:autoSpaceDE/>
              <w:autoSpaceDN/>
              <w:bidi w:val="0"/>
              <w:spacing w:line="440" w:lineRule="exact"/>
              <w:jc w:val="center"/>
              <w:rPr>
                <w:rFonts w:ascii="仿宋" w:hAnsi="仿宋" w:eastAsia="仿宋"/>
                <w:szCs w:val="21"/>
                <w:highlight w:val="none"/>
              </w:rPr>
            </w:pPr>
            <w:r>
              <w:rPr>
                <w:rFonts w:hint="eastAsia" w:ascii="仿宋" w:hAnsi="仿宋" w:eastAsia="仿宋"/>
                <w:szCs w:val="21"/>
                <w:highlight w:val="none"/>
              </w:rPr>
              <w:t>报价</w:t>
            </w:r>
            <w:r>
              <w:rPr>
                <w:rFonts w:ascii="仿宋" w:hAnsi="仿宋" w:eastAsia="仿宋"/>
                <w:szCs w:val="21"/>
                <w:highlight w:val="none"/>
              </w:rPr>
              <w:t>30</w:t>
            </w:r>
            <w:r>
              <w:rPr>
                <w:rFonts w:hint="eastAsia" w:ascii="仿宋" w:hAnsi="仿宋" w:eastAsia="仿宋"/>
                <w:szCs w:val="21"/>
                <w:highlight w:val="none"/>
              </w:rPr>
              <w:t>%（30分）</w:t>
            </w:r>
          </w:p>
        </w:tc>
        <w:tc>
          <w:tcPr>
            <w:tcW w:w="795" w:type="dxa"/>
            <w:vAlign w:val="center"/>
          </w:tcPr>
          <w:p w14:paraId="1CA7B882">
            <w:pPr>
              <w:keepNext w:val="0"/>
              <w:keepLines w:val="0"/>
              <w:pageBreakBefore w:val="0"/>
              <w:kinsoku/>
              <w:overflowPunct/>
              <w:topLinePunct w:val="0"/>
              <w:autoSpaceDE/>
              <w:autoSpaceDN/>
              <w:bidi w:val="0"/>
              <w:spacing w:line="440" w:lineRule="exact"/>
              <w:jc w:val="center"/>
              <w:rPr>
                <w:rFonts w:ascii="仿宋" w:hAnsi="仿宋" w:eastAsia="仿宋"/>
                <w:szCs w:val="21"/>
                <w:highlight w:val="none"/>
              </w:rPr>
            </w:pPr>
            <w:r>
              <w:rPr>
                <w:rFonts w:ascii="仿宋" w:hAnsi="仿宋" w:eastAsia="仿宋"/>
                <w:szCs w:val="21"/>
                <w:highlight w:val="none"/>
              </w:rPr>
              <w:t>30</w:t>
            </w:r>
            <w:r>
              <w:rPr>
                <w:rFonts w:hint="eastAsia" w:ascii="仿宋" w:hAnsi="仿宋" w:eastAsia="仿宋"/>
                <w:szCs w:val="21"/>
                <w:highlight w:val="none"/>
              </w:rPr>
              <w:t>分</w:t>
            </w:r>
          </w:p>
        </w:tc>
        <w:tc>
          <w:tcPr>
            <w:tcW w:w="6135" w:type="dxa"/>
            <w:vAlign w:val="center"/>
          </w:tcPr>
          <w:p w14:paraId="7E85BEA3">
            <w:pPr>
              <w:keepNext w:val="0"/>
              <w:keepLines w:val="0"/>
              <w:pageBreakBefore w:val="0"/>
              <w:kinsoku/>
              <w:overflowPunct/>
              <w:topLinePunct w:val="0"/>
              <w:autoSpaceDE/>
              <w:autoSpaceDN/>
              <w:bidi w:val="0"/>
              <w:spacing w:line="440" w:lineRule="exact"/>
              <w:rPr>
                <w:rFonts w:ascii="仿宋" w:hAnsi="仿宋" w:eastAsia="仿宋"/>
                <w:szCs w:val="21"/>
                <w:highlight w:val="none"/>
              </w:rPr>
            </w:pPr>
            <w:r>
              <w:rPr>
                <w:rFonts w:hint="eastAsia" w:ascii="仿宋" w:hAnsi="仿宋" w:eastAsia="仿宋"/>
                <w:szCs w:val="21"/>
                <w:highlight w:val="none"/>
              </w:rPr>
              <w:t xml:space="preserve">满足招标文件要求且投标价格最低的报价为基准价，其价格分为满分。其他供应商的价格分统一按照下列公式计算：报价得分=(基准价／报价)* </w:t>
            </w:r>
            <w:r>
              <w:rPr>
                <w:rFonts w:ascii="仿宋" w:hAnsi="仿宋" w:eastAsia="仿宋"/>
                <w:szCs w:val="21"/>
                <w:highlight w:val="none"/>
              </w:rPr>
              <w:t>30</w:t>
            </w:r>
            <w:r>
              <w:rPr>
                <w:rFonts w:hint="eastAsia" w:ascii="仿宋" w:hAnsi="仿宋" w:eastAsia="仿宋"/>
                <w:szCs w:val="21"/>
                <w:highlight w:val="none"/>
              </w:rPr>
              <w:t>%*100</w:t>
            </w:r>
          </w:p>
        </w:tc>
        <w:tc>
          <w:tcPr>
            <w:tcW w:w="810" w:type="dxa"/>
            <w:vAlign w:val="center"/>
          </w:tcPr>
          <w:p w14:paraId="790451E4">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w:t>
            </w:r>
          </w:p>
        </w:tc>
        <w:tc>
          <w:tcPr>
            <w:tcW w:w="925" w:type="dxa"/>
            <w:vAlign w:val="center"/>
          </w:tcPr>
          <w:p w14:paraId="2C5B5EA4">
            <w:pPr>
              <w:keepNext w:val="0"/>
              <w:keepLines w:val="0"/>
              <w:pageBreakBefore w:val="0"/>
              <w:kinsoku/>
              <w:overflowPunct/>
              <w:topLinePunct w:val="0"/>
              <w:autoSpaceDE/>
              <w:autoSpaceDN/>
              <w:bidi w:val="0"/>
              <w:spacing w:line="500" w:lineRule="exact"/>
              <w:rPr>
                <w:rFonts w:ascii="仿宋" w:hAnsi="仿宋" w:eastAsia="仿宋"/>
                <w:szCs w:val="21"/>
                <w:highlight w:val="none"/>
              </w:rPr>
            </w:pPr>
          </w:p>
        </w:tc>
      </w:tr>
      <w:tr w14:paraId="7A38E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2" w:hRule="atLeast"/>
        </w:trPr>
        <w:tc>
          <w:tcPr>
            <w:tcW w:w="675" w:type="dxa"/>
            <w:vAlign w:val="center"/>
          </w:tcPr>
          <w:p w14:paraId="3B861D85">
            <w:pPr>
              <w:keepNext w:val="0"/>
              <w:keepLines w:val="0"/>
              <w:pageBreakBefore w:val="0"/>
              <w:kinsoku/>
              <w:overflowPunct/>
              <w:topLinePunct w:val="0"/>
              <w:autoSpaceDE/>
              <w:autoSpaceDN/>
              <w:bidi w:val="0"/>
              <w:spacing w:line="440" w:lineRule="exact"/>
              <w:ind w:firstLine="28"/>
              <w:jc w:val="center"/>
              <w:rPr>
                <w:rFonts w:ascii="仿宋" w:hAnsi="仿宋" w:eastAsia="仿宋"/>
                <w:szCs w:val="21"/>
                <w:highlight w:val="none"/>
              </w:rPr>
            </w:pPr>
            <w:r>
              <w:rPr>
                <w:rFonts w:hint="eastAsia" w:ascii="仿宋" w:hAnsi="仿宋" w:eastAsia="仿宋"/>
                <w:szCs w:val="21"/>
                <w:highlight w:val="none"/>
              </w:rPr>
              <w:t>2</w:t>
            </w:r>
          </w:p>
        </w:tc>
        <w:tc>
          <w:tcPr>
            <w:tcW w:w="1275" w:type="dxa"/>
            <w:vAlign w:val="center"/>
          </w:tcPr>
          <w:p w14:paraId="428B7B56">
            <w:pPr>
              <w:keepNext w:val="0"/>
              <w:keepLines w:val="0"/>
              <w:pageBreakBefore w:val="0"/>
              <w:kinsoku/>
              <w:overflowPunct/>
              <w:topLinePunct w:val="0"/>
              <w:autoSpaceDE/>
              <w:autoSpaceDN/>
              <w:bidi w:val="0"/>
              <w:spacing w:line="440" w:lineRule="exact"/>
              <w:jc w:val="center"/>
              <w:rPr>
                <w:rFonts w:ascii="仿宋" w:hAnsi="仿宋" w:eastAsia="仿宋"/>
                <w:szCs w:val="21"/>
                <w:highlight w:val="none"/>
              </w:rPr>
            </w:pPr>
            <w:r>
              <w:rPr>
                <w:rFonts w:hint="eastAsia" w:ascii="仿宋" w:hAnsi="仿宋" w:eastAsia="仿宋"/>
                <w:szCs w:val="21"/>
                <w:highlight w:val="none"/>
              </w:rPr>
              <w:t>技术、服务要求</w:t>
            </w:r>
            <w:r>
              <w:rPr>
                <w:rFonts w:hint="eastAsia" w:ascii="仿宋" w:hAnsi="仿宋" w:eastAsia="仿宋"/>
                <w:szCs w:val="21"/>
                <w:highlight w:val="none"/>
                <w:lang w:val="en-US" w:eastAsia="zh-CN"/>
              </w:rPr>
              <w:t>4</w:t>
            </w:r>
            <w:r>
              <w:rPr>
                <w:rFonts w:hint="eastAsia" w:ascii="仿宋" w:hAnsi="仿宋" w:eastAsia="仿宋"/>
                <w:szCs w:val="21"/>
                <w:highlight w:val="none"/>
              </w:rPr>
              <w:t>0%   （</w:t>
            </w:r>
            <w:r>
              <w:rPr>
                <w:rFonts w:hint="eastAsia" w:ascii="仿宋" w:hAnsi="仿宋" w:eastAsia="仿宋"/>
                <w:szCs w:val="21"/>
                <w:highlight w:val="none"/>
                <w:lang w:val="en-US" w:eastAsia="zh-CN"/>
              </w:rPr>
              <w:t>40</w:t>
            </w:r>
            <w:r>
              <w:rPr>
                <w:rFonts w:hint="eastAsia" w:ascii="仿宋" w:hAnsi="仿宋" w:eastAsia="仿宋"/>
                <w:szCs w:val="21"/>
                <w:highlight w:val="none"/>
              </w:rPr>
              <w:t>分）</w:t>
            </w:r>
          </w:p>
        </w:tc>
        <w:tc>
          <w:tcPr>
            <w:tcW w:w="795" w:type="dxa"/>
            <w:vAlign w:val="center"/>
          </w:tcPr>
          <w:p w14:paraId="79AA018A">
            <w:pPr>
              <w:keepNext w:val="0"/>
              <w:keepLines w:val="0"/>
              <w:pageBreakBefore w:val="0"/>
              <w:kinsoku/>
              <w:overflowPunct/>
              <w:topLinePunct w:val="0"/>
              <w:autoSpaceDE/>
              <w:autoSpaceDN/>
              <w:bidi w:val="0"/>
              <w:spacing w:line="440" w:lineRule="exact"/>
              <w:jc w:val="center"/>
              <w:rPr>
                <w:rFonts w:ascii="仿宋" w:hAnsi="仿宋" w:eastAsia="仿宋"/>
                <w:szCs w:val="21"/>
                <w:highlight w:val="none"/>
              </w:rPr>
            </w:pPr>
            <w:r>
              <w:rPr>
                <w:rFonts w:hint="eastAsia" w:ascii="仿宋" w:hAnsi="仿宋" w:eastAsia="仿宋"/>
                <w:szCs w:val="21"/>
                <w:highlight w:val="none"/>
                <w:lang w:val="en-US" w:eastAsia="zh-CN"/>
              </w:rPr>
              <w:t>40</w:t>
            </w:r>
            <w:r>
              <w:rPr>
                <w:rFonts w:hint="eastAsia" w:ascii="仿宋" w:hAnsi="仿宋" w:eastAsia="仿宋"/>
                <w:szCs w:val="21"/>
                <w:highlight w:val="none"/>
              </w:rPr>
              <w:t>分</w:t>
            </w:r>
          </w:p>
        </w:tc>
        <w:tc>
          <w:tcPr>
            <w:tcW w:w="6135" w:type="dxa"/>
            <w:vAlign w:val="center"/>
          </w:tcPr>
          <w:p w14:paraId="38775F99">
            <w:pPr>
              <w:keepNext w:val="0"/>
              <w:keepLines w:val="0"/>
              <w:pageBreakBefore w:val="0"/>
              <w:numPr>
                <w:ilvl w:val="255"/>
                <w:numId w:val="0"/>
              </w:numPr>
              <w:kinsoku/>
              <w:overflowPunct/>
              <w:topLinePunct w:val="0"/>
              <w:autoSpaceDE/>
              <w:autoSpaceDN/>
              <w:bidi w:val="0"/>
              <w:spacing w:line="440" w:lineRule="exact"/>
              <w:rPr>
                <w:rFonts w:ascii="仿宋" w:hAnsi="仿宋" w:eastAsia="仿宋"/>
                <w:szCs w:val="21"/>
                <w:highlight w:val="none"/>
              </w:rPr>
            </w:pPr>
            <w:r>
              <w:rPr>
                <w:rFonts w:hint="eastAsia" w:ascii="仿宋" w:hAnsi="仿宋" w:eastAsia="仿宋"/>
                <w:szCs w:val="21"/>
                <w:highlight w:val="none"/>
              </w:rPr>
              <w:t>投标人针对技术参数条款的响应得分规则如下：</w:t>
            </w:r>
          </w:p>
          <w:p w14:paraId="4E9C6757">
            <w:pPr>
              <w:keepNext w:val="0"/>
              <w:keepLines w:val="0"/>
              <w:pageBreakBefore w:val="0"/>
              <w:kinsoku/>
              <w:overflowPunct/>
              <w:topLinePunct w:val="0"/>
              <w:autoSpaceDE/>
              <w:autoSpaceDN/>
              <w:bidi w:val="0"/>
              <w:spacing w:line="440" w:lineRule="exact"/>
              <w:rPr>
                <w:rFonts w:ascii="仿宋" w:hAnsi="仿宋" w:eastAsia="仿宋"/>
                <w:szCs w:val="21"/>
                <w:highlight w:val="none"/>
              </w:rPr>
            </w:pPr>
            <w:r>
              <w:rPr>
                <w:rFonts w:hint="eastAsia" w:ascii="仿宋" w:hAnsi="仿宋" w:eastAsia="仿宋"/>
                <w:szCs w:val="21"/>
                <w:highlight w:val="none"/>
              </w:rPr>
              <w:t>1.一般技术参数条款响应得分=（投标人满足一般技术参数条款的数量÷对应包件中一般技术参数条款的总数量）×</w:t>
            </w:r>
            <w:r>
              <w:rPr>
                <w:rFonts w:hint="eastAsia" w:ascii="仿宋" w:hAnsi="仿宋" w:eastAsia="仿宋"/>
                <w:szCs w:val="21"/>
                <w:highlight w:val="none"/>
                <w:lang w:val="en-US" w:eastAsia="zh-CN"/>
              </w:rPr>
              <w:t>10</w:t>
            </w:r>
            <w:r>
              <w:rPr>
                <w:rFonts w:hint="eastAsia" w:ascii="仿宋" w:hAnsi="仿宋" w:eastAsia="仿宋"/>
                <w:szCs w:val="21"/>
                <w:highlight w:val="none"/>
              </w:rPr>
              <w:t>分。一般技术参数条款：</w:t>
            </w:r>
            <w:r>
              <w:rPr>
                <w:rFonts w:hint="eastAsia" w:ascii="仿宋" w:hAnsi="仿宋" w:eastAsia="仿宋"/>
                <w:szCs w:val="21"/>
                <w:highlight w:val="none"/>
                <w:lang w:val="en-US" w:eastAsia="zh-CN"/>
              </w:rPr>
              <w:t>6</w:t>
            </w:r>
            <w:r>
              <w:rPr>
                <w:rFonts w:hint="eastAsia" w:ascii="仿宋" w:hAnsi="仿宋" w:eastAsia="仿宋"/>
                <w:szCs w:val="21"/>
                <w:highlight w:val="none"/>
              </w:rPr>
              <w:t>条。</w:t>
            </w:r>
          </w:p>
          <w:p w14:paraId="7D313C13">
            <w:pPr>
              <w:keepNext w:val="0"/>
              <w:keepLines w:val="0"/>
              <w:pageBreakBefore w:val="0"/>
              <w:kinsoku/>
              <w:overflowPunct/>
              <w:topLinePunct w:val="0"/>
              <w:autoSpaceDE/>
              <w:autoSpaceDN/>
              <w:bidi w:val="0"/>
              <w:spacing w:line="440" w:lineRule="exact"/>
              <w:rPr>
                <w:rFonts w:ascii="仿宋" w:hAnsi="仿宋" w:eastAsia="仿宋"/>
                <w:szCs w:val="21"/>
                <w:highlight w:val="none"/>
              </w:rPr>
            </w:pPr>
            <w:r>
              <w:rPr>
                <w:rFonts w:hint="eastAsia" w:ascii="仿宋" w:hAnsi="仿宋" w:eastAsia="仿宋"/>
                <w:szCs w:val="21"/>
                <w:highlight w:val="none"/>
              </w:rPr>
              <w:t>2.投标人针对“”技术参数条款的响应得分规则如下：</w:t>
            </w:r>
          </w:p>
          <w:p w14:paraId="7C304D47">
            <w:pPr>
              <w:keepNext w:val="0"/>
              <w:keepLines w:val="0"/>
              <w:pageBreakBefore w:val="0"/>
              <w:kinsoku/>
              <w:overflowPunct/>
              <w:topLinePunct w:val="0"/>
              <w:autoSpaceDE/>
              <w:autoSpaceDN/>
              <w:bidi w:val="0"/>
              <w:spacing w:line="440" w:lineRule="exact"/>
              <w:rPr>
                <w:rFonts w:hint="eastAsia" w:ascii="仿宋" w:hAnsi="仿宋" w:eastAsia="仿宋"/>
                <w:szCs w:val="21"/>
                <w:highlight w:val="none"/>
              </w:rPr>
            </w:pPr>
            <w:r>
              <w:rPr>
                <w:rFonts w:hint="eastAsia" w:ascii="仿宋" w:hAnsi="仿宋" w:eastAsia="仿宋"/>
                <w:szCs w:val="21"/>
                <w:highlight w:val="none"/>
              </w:rPr>
              <w:t>“</w:t>
            </w:r>
            <w:r>
              <w:rPr>
                <w:rFonts w:hint="eastAsia" w:ascii="宋体" w:hAnsi="宋体"/>
                <w:bCs/>
                <w:szCs w:val="21"/>
                <w:highlight w:val="none"/>
              </w:rPr>
              <w:t>▲</w:t>
            </w:r>
            <w:r>
              <w:rPr>
                <w:rFonts w:hint="eastAsia" w:ascii="仿宋" w:hAnsi="仿宋" w:eastAsia="仿宋"/>
                <w:szCs w:val="21"/>
                <w:highlight w:val="none"/>
              </w:rPr>
              <w:t>”技术参数条款响应得分=（投标人满足“</w:t>
            </w:r>
            <w:r>
              <w:rPr>
                <w:rFonts w:hint="eastAsia" w:ascii="宋体" w:hAnsi="宋体"/>
                <w:bCs/>
                <w:szCs w:val="21"/>
                <w:highlight w:val="none"/>
              </w:rPr>
              <w:t>▲</w:t>
            </w:r>
            <w:r>
              <w:rPr>
                <w:rFonts w:hint="eastAsia" w:ascii="仿宋" w:hAnsi="仿宋" w:eastAsia="仿宋"/>
                <w:szCs w:val="21"/>
                <w:highlight w:val="none"/>
              </w:rPr>
              <w:t>”技术参数条款的数量÷对应包件中“</w:t>
            </w:r>
            <w:r>
              <w:rPr>
                <w:rFonts w:hint="eastAsia" w:ascii="宋体" w:hAnsi="宋体"/>
                <w:bCs/>
                <w:szCs w:val="21"/>
                <w:highlight w:val="none"/>
              </w:rPr>
              <w:t>▲</w:t>
            </w:r>
            <w:r>
              <w:rPr>
                <w:rFonts w:hint="eastAsia" w:ascii="仿宋" w:hAnsi="仿宋" w:eastAsia="仿宋"/>
                <w:szCs w:val="21"/>
                <w:highlight w:val="none"/>
              </w:rPr>
              <w:t>”技术参数条款的总数量）×</w:t>
            </w:r>
            <w:r>
              <w:rPr>
                <w:rFonts w:hint="eastAsia" w:ascii="仿宋" w:hAnsi="仿宋" w:eastAsia="仿宋"/>
                <w:szCs w:val="21"/>
                <w:highlight w:val="none"/>
                <w:lang w:val="en-US" w:eastAsia="zh-CN"/>
              </w:rPr>
              <w:t>30</w:t>
            </w:r>
            <w:r>
              <w:rPr>
                <w:rFonts w:hint="eastAsia" w:ascii="仿宋" w:hAnsi="仿宋" w:eastAsia="仿宋"/>
                <w:szCs w:val="21"/>
                <w:highlight w:val="none"/>
              </w:rPr>
              <w:t>分。“</w:t>
            </w:r>
            <w:r>
              <w:rPr>
                <w:rFonts w:hint="eastAsia" w:ascii="宋体" w:hAnsi="宋体"/>
                <w:bCs/>
                <w:szCs w:val="21"/>
                <w:highlight w:val="none"/>
              </w:rPr>
              <w:t>▲</w:t>
            </w:r>
            <w:r>
              <w:rPr>
                <w:rFonts w:hint="eastAsia" w:ascii="仿宋" w:hAnsi="仿宋" w:eastAsia="仿宋"/>
                <w:szCs w:val="21"/>
                <w:highlight w:val="none"/>
              </w:rPr>
              <w:t>”技术参数条款：</w:t>
            </w:r>
            <w:r>
              <w:rPr>
                <w:rFonts w:hint="eastAsia" w:ascii="仿宋" w:hAnsi="仿宋" w:eastAsia="仿宋"/>
                <w:szCs w:val="21"/>
                <w:highlight w:val="none"/>
                <w:lang w:val="en-US" w:eastAsia="zh-CN"/>
              </w:rPr>
              <w:t>10</w:t>
            </w:r>
            <w:r>
              <w:rPr>
                <w:rFonts w:hint="eastAsia" w:ascii="仿宋" w:hAnsi="仿宋" w:eastAsia="仿宋"/>
                <w:szCs w:val="21"/>
                <w:highlight w:val="none"/>
              </w:rPr>
              <w:t>条。</w:t>
            </w:r>
          </w:p>
          <w:p w14:paraId="289369E4">
            <w:pPr>
              <w:keepNext w:val="0"/>
              <w:keepLines w:val="0"/>
              <w:pageBreakBefore w:val="0"/>
              <w:kinsoku/>
              <w:overflowPunct/>
              <w:topLinePunct w:val="0"/>
              <w:autoSpaceDE/>
              <w:autoSpaceDN/>
              <w:bidi w:val="0"/>
              <w:spacing w:line="440" w:lineRule="exact"/>
              <w:rPr>
                <w:rFonts w:hint="eastAsia" w:ascii="仿宋" w:hAnsi="仿宋" w:eastAsia="仿宋"/>
                <w:szCs w:val="21"/>
                <w:highlight w:val="none"/>
              </w:rPr>
            </w:pPr>
            <w:r>
              <w:rPr>
                <w:rFonts w:hint="eastAsia" w:ascii="仿宋" w:hAnsi="仿宋" w:eastAsia="仿宋"/>
                <w:szCs w:val="21"/>
                <w:highlight w:val="none"/>
              </w:rPr>
              <w:t>注： ①针对“▲”号技术参数条款的响应，供应商应提供技术支持资料，技术支持资料指：投标产品生产厂家公开发布的印刷资料或者说明书或检测机构出具的检测报告或者白皮书等资料，否则认为不满足。</w:t>
            </w:r>
          </w:p>
        </w:tc>
        <w:tc>
          <w:tcPr>
            <w:tcW w:w="810" w:type="dxa"/>
            <w:vAlign w:val="center"/>
          </w:tcPr>
          <w:p w14:paraId="1086FEFC">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hint="eastAsia" w:ascii="仿宋" w:hAnsi="仿宋" w:eastAsia="仿宋"/>
                <w:szCs w:val="21"/>
                <w:highlight w:val="none"/>
              </w:rPr>
              <w:t>/</w:t>
            </w:r>
          </w:p>
        </w:tc>
        <w:tc>
          <w:tcPr>
            <w:tcW w:w="925" w:type="dxa"/>
            <w:vAlign w:val="center"/>
          </w:tcPr>
          <w:p w14:paraId="3AC988C7">
            <w:pPr>
              <w:keepNext w:val="0"/>
              <w:keepLines w:val="0"/>
              <w:pageBreakBefore w:val="0"/>
              <w:kinsoku/>
              <w:overflowPunct/>
              <w:topLinePunct w:val="0"/>
              <w:autoSpaceDE/>
              <w:autoSpaceDN/>
              <w:bidi w:val="0"/>
              <w:spacing w:line="500" w:lineRule="exact"/>
              <w:rPr>
                <w:rFonts w:ascii="仿宋" w:hAnsi="仿宋" w:eastAsia="仿宋"/>
                <w:szCs w:val="21"/>
                <w:highlight w:val="none"/>
              </w:rPr>
            </w:pPr>
          </w:p>
        </w:tc>
      </w:tr>
      <w:tr w14:paraId="5441C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8" w:hRule="atLeast"/>
        </w:trPr>
        <w:tc>
          <w:tcPr>
            <w:tcW w:w="675" w:type="dxa"/>
            <w:vAlign w:val="center"/>
          </w:tcPr>
          <w:p w14:paraId="3288924B">
            <w:pPr>
              <w:keepNext w:val="0"/>
              <w:keepLines w:val="0"/>
              <w:pageBreakBefore w:val="0"/>
              <w:kinsoku/>
              <w:overflowPunct/>
              <w:topLinePunct w:val="0"/>
              <w:autoSpaceDE/>
              <w:autoSpaceDN/>
              <w:bidi w:val="0"/>
              <w:spacing w:line="440" w:lineRule="exact"/>
              <w:ind w:firstLine="28"/>
              <w:jc w:val="center"/>
              <w:rPr>
                <w:rFonts w:ascii="仿宋" w:hAnsi="仿宋" w:eastAsia="仿宋"/>
                <w:szCs w:val="21"/>
                <w:highlight w:val="none"/>
              </w:rPr>
            </w:pPr>
            <w:r>
              <w:rPr>
                <w:rFonts w:hint="eastAsia" w:ascii="仿宋" w:hAnsi="仿宋" w:eastAsia="仿宋"/>
                <w:szCs w:val="21"/>
                <w:highlight w:val="none"/>
              </w:rPr>
              <w:t>3</w:t>
            </w:r>
          </w:p>
        </w:tc>
        <w:tc>
          <w:tcPr>
            <w:tcW w:w="1275" w:type="dxa"/>
            <w:vAlign w:val="center"/>
          </w:tcPr>
          <w:p w14:paraId="35DF9917">
            <w:pPr>
              <w:keepNext w:val="0"/>
              <w:keepLines w:val="0"/>
              <w:pageBreakBefore w:val="0"/>
              <w:kinsoku/>
              <w:overflowPunct/>
              <w:topLinePunct w:val="0"/>
              <w:autoSpaceDE/>
              <w:autoSpaceDN/>
              <w:bidi w:val="0"/>
              <w:spacing w:line="440" w:lineRule="exact"/>
              <w:jc w:val="center"/>
              <w:rPr>
                <w:rFonts w:ascii="仿宋" w:hAnsi="仿宋" w:eastAsia="仿宋"/>
                <w:szCs w:val="21"/>
                <w:highlight w:val="none"/>
              </w:rPr>
            </w:pPr>
            <w:r>
              <w:rPr>
                <w:rFonts w:hint="eastAsia" w:ascii="仿宋" w:hAnsi="仿宋" w:eastAsia="仿宋"/>
                <w:szCs w:val="21"/>
                <w:highlight w:val="none"/>
              </w:rPr>
              <w:t>服务</w:t>
            </w:r>
            <w:r>
              <w:rPr>
                <w:rFonts w:hint="eastAsia" w:ascii="仿宋" w:hAnsi="仿宋" w:eastAsia="仿宋"/>
                <w:szCs w:val="21"/>
                <w:highlight w:val="none"/>
                <w:lang w:val="en-US" w:eastAsia="zh-CN"/>
              </w:rPr>
              <w:t>方案2</w:t>
            </w:r>
            <w:r>
              <w:rPr>
                <w:rFonts w:hint="eastAsia" w:ascii="仿宋" w:hAnsi="仿宋" w:eastAsia="仿宋"/>
                <w:szCs w:val="21"/>
                <w:highlight w:val="none"/>
              </w:rPr>
              <w:t>0</w:t>
            </w:r>
            <w:r>
              <w:rPr>
                <w:rFonts w:ascii="仿宋" w:hAnsi="仿宋" w:eastAsia="仿宋"/>
                <w:szCs w:val="21"/>
                <w:highlight w:val="none"/>
              </w:rPr>
              <w:t>%</w:t>
            </w:r>
          </w:p>
          <w:p w14:paraId="46860E92">
            <w:pPr>
              <w:keepNext w:val="0"/>
              <w:keepLines w:val="0"/>
              <w:pageBreakBefore w:val="0"/>
              <w:kinsoku/>
              <w:overflowPunct/>
              <w:topLinePunct w:val="0"/>
              <w:autoSpaceDE/>
              <w:autoSpaceDN/>
              <w:bidi w:val="0"/>
              <w:spacing w:line="440" w:lineRule="exact"/>
              <w:jc w:val="center"/>
              <w:rPr>
                <w:rFonts w:ascii="仿宋" w:hAnsi="仿宋" w:eastAsia="仿宋"/>
                <w:szCs w:val="21"/>
                <w:highlight w:val="none"/>
              </w:rPr>
            </w:pPr>
            <w:r>
              <w:rPr>
                <w:rFonts w:hint="eastAsia" w:ascii="仿宋" w:hAnsi="仿宋" w:eastAsia="仿宋"/>
                <w:szCs w:val="21"/>
                <w:highlight w:val="none"/>
              </w:rPr>
              <w:t>（</w:t>
            </w:r>
            <w:r>
              <w:rPr>
                <w:rFonts w:hint="eastAsia" w:ascii="仿宋" w:hAnsi="仿宋" w:eastAsia="仿宋"/>
                <w:szCs w:val="21"/>
                <w:highlight w:val="none"/>
                <w:lang w:val="en-US" w:eastAsia="zh-CN"/>
              </w:rPr>
              <w:t>2</w:t>
            </w:r>
            <w:r>
              <w:rPr>
                <w:rFonts w:hint="eastAsia" w:ascii="仿宋" w:hAnsi="仿宋" w:eastAsia="仿宋"/>
                <w:szCs w:val="21"/>
                <w:highlight w:val="none"/>
              </w:rPr>
              <w:t>0分）</w:t>
            </w:r>
          </w:p>
        </w:tc>
        <w:tc>
          <w:tcPr>
            <w:tcW w:w="795" w:type="dxa"/>
            <w:vAlign w:val="center"/>
          </w:tcPr>
          <w:p w14:paraId="710ADAE6">
            <w:pPr>
              <w:keepNext w:val="0"/>
              <w:keepLines w:val="0"/>
              <w:pageBreakBefore w:val="0"/>
              <w:kinsoku/>
              <w:overflowPunct/>
              <w:topLinePunct w:val="0"/>
              <w:autoSpaceDE/>
              <w:autoSpaceDN/>
              <w:bidi w:val="0"/>
              <w:spacing w:line="440" w:lineRule="exact"/>
              <w:jc w:val="center"/>
              <w:rPr>
                <w:rFonts w:ascii="仿宋" w:hAnsi="仿宋" w:eastAsia="仿宋"/>
                <w:szCs w:val="21"/>
                <w:highlight w:val="none"/>
              </w:rPr>
            </w:pPr>
            <w:r>
              <w:rPr>
                <w:rFonts w:hint="eastAsia" w:ascii="仿宋" w:hAnsi="仿宋" w:eastAsia="仿宋"/>
                <w:szCs w:val="21"/>
                <w:highlight w:val="none"/>
                <w:lang w:val="en-US" w:eastAsia="zh-CN"/>
              </w:rPr>
              <w:t>2</w:t>
            </w:r>
            <w:r>
              <w:rPr>
                <w:rFonts w:hint="eastAsia" w:ascii="仿宋" w:hAnsi="仿宋" w:eastAsia="仿宋"/>
                <w:szCs w:val="21"/>
                <w:highlight w:val="none"/>
              </w:rPr>
              <w:t>0分</w:t>
            </w:r>
          </w:p>
        </w:tc>
        <w:tc>
          <w:tcPr>
            <w:tcW w:w="6135" w:type="dxa"/>
            <w:vAlign w:val="center"/>
          </w:tcPr>
          <w:p w14:paraId="5A53195F">
            <w:pPr>
              <w:keepNext w:val="0"/>
              <w:keepLines w:val="0"/>
              <w:pageBreakBefore w:val="0"/>
              <w:kinsoku/>
              <w:overflowPunct/>
              <w:topLinePunct w:val="0"/>
              <w:autoSpaceDE/>
              <w:autoSpaceDN/>
              <w:bidi w:val="0"/>
              <w:spacing w:line="440" w:lineRule="exact"/>
              <w:rPr>
                <w:rFonts w:ascii="仿宋" w:hAnsi="仿宋" w:eastAsia="仿宋"/>
                <w:szCs w:val="21"/>
                <w:highlight w:val="none"/>
              </w:rPr>
            </w:pPr>
            <w:r>
              <w:rPr>
                <w:rFonts w:hint="eastAsia" w:ascii="仿宋" w:hAnsi="仿宋" w:eastAsia="仿宋"/>
                <w:szCs w:val="21"/>
                <w:highlight w:val="none"/>
              </w:rPr>
              <w:t>投标人针对本项目提供的服务方案，包括但不限于①</w:t>
            </w:r>
            <w:r>
              <w:rPr>
                <w:rFonts w:hint="eastAsia" w:ascii="仿宋" w:hAnsi="仿宋" w:eastAsia="仿宋"/>
                <w:szCs w:val="21"/>
                <w:highlight w:val="none"/>
                <w:lang w:val="en-US" w:eastAsia="zh-CN"/>
              </w:rPr>
              <w:t>供货方案</w:t>
            </w:r>
            <w:r>
              <w:rPr>
                <w:rFonts w:hint="eastAsia" w:ascii="仿宋" w:hAnsi="仿宋" w:eastAsia="仿宋"/>
                <w:szCs w:val="21"/>
                <w:highlight w:val="none"/>
              </w:rPr>
              <w:t>、②</w:t>
            </w:r>
            <w:r>
              <w:rPr>
                <w:rFonts w:hint="eastAsia" w:ascii="仿宋" w:hAnsi="仿宋" w:eastAsia="仿宋" w:cstheme="minorBidi"/>
                <w:color w:val="auto"/>
                <w:sz w:val="21"/>
                <w:szCs w:val="21"/>
                <w:highlight w:val="none"/>
                <w:lang w:val="en-US" w:eastAsia="zh-CN"/>
              </w:rPr>
              <w:t>突发事件应急处理方案</w:t>
            </w:r>
            <w:r>
              <w:rPr>
                <w:rFonts w:hint="eastAsia" w:ascii="仿宋" w:hAnsi="仿宋" w:eastAsia="仿宋"/>
                <w:szCs w:val="21"/>
                <w:highlight w:val="none"/>
              </w:rPr>
              <w:t>、③</w:t>
            </w:r>
            <w:r>
              <w:rPr>
                <w:rFonts w:hint="eastAsia" w:ascii="仿宋" w:hAnsi="仿宋" w:eastAsia="仿宋" w:cstheme="minorBidi"/>
                <w:color w:val="auto"/>
                <w:sz w:val="21"/>
                <w:szCs w:val="21"/>
                <w:highlight w:val="none"/>
                <w:lang w:eastAsia="zh-CN"/>
              </w:rPr>
              <w:t>售后服务保障体系及措施</w:t>
            </w:r>
            <w:r>
              <w:rPr>
                <w:rFonts w:hint="eastAsia" w:ascii="仿宋" w:hAnsi="仿宋" w:eastAsia="仿宋"/>
                <w:szCs w:val="21"/>
                <w:highlight w:val="none"/>
              </w:rPr>
              <w:t>、④</w:t>
            </w:r>
            <w:r>
              <w:rPr>
                <w:rFonts w:hint="eastAsia" w:ascii="仿宋" w:hAnsi="仿宋" w:eastAsia="仿宋" w:cstheme="minorBidi"/>
                <w:color w:val="auto"/>
                <w:sz w:val="21"/>
                <w:szCs w:val="21"/>
                <w:highlight w:val="none"/>
              </w:rPr>
              <w:t>质量保障措施</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⑤</w:t>
            </w:r>
            <w:r>
              <w:rPr>
                <w:rFonts w:hint="eastAsia" w:ascii="仿宋" w:hAnsi="仿宋" w:eastAsia="仿宋"/>
                <w:szCs w:val="21"/>
                <w:highlight w:val="none"/>
              </w:rPr>
              <w:t>培训方案，每具有一项前述细化指标内容得</w:t>
            </w:r>
            <w:r>
              <w:rPr>
                <w:rFonts w:hint="eastAsia" w:ascii="仿宋" w:hAnsi="仿宋" w:eastAsia="仿宋"/>
                <w:szCs w:val="21"/>
                <w:highlight w:val="none"/>
                <w:lang w:val="en-US" w:eastAsia="zh-CN"/>
              </w:rPr>
              <w:t>4</w:t>
            </w:r>
            <w:r>
              <w:rPr>
                <w:rFonts w:hint="eastAsia" w:ascii="仿宋" w:hAnsi="仿宋" w:eastAsia="仿宋"/>
                <w:szCs w:val="21"/>
                <w:highlight w:val="none"/>
              </w:rPr>
              <w:t>分，不提供不得分，最多得</w:t>
            </w:r>
            <w:r>
              <w:rPr>
                <w:rFonts w:hint="eastAsia" w:ascii="仿宋" w:hAnsi="仿宋" w:eastAsia="仿宋"/>
                <w:szCs w:val="21"/>
                <w:highlight w:val="none"/>
                <w:lang w:val="en-US" w:eastAsia="zh-CN"/>
              </w:rPr>
              <w:t>20</w:t>
            </w:r>
            <w:r>
              <w:rPr>
                <w:rFonts w:hint="eastAsia" w:ascii="仿宋" w:hAnsi="仿宋" w:eastAsia="仿宋"/>
                <w:szCs w:val="21"/>
                <w:highlight w:val="none"/>
              </w:rPr>
              <w:t>分；每有一处内容存在缺陷，扣</w:t>
            </w:r>
            <w:r>
              <w:rPr>
                <w:rFonts w:hint="eastAsia" w:ascii="仿宋" w:hAnsi="仿宋" w:eastAsia="仿宋"/>
                <w:szCs w:val="21"/>
                <w:highlight w:val="none"/>
                <w:lang w:val="en-US" w:eastAsia="zh-CN"/>
              </w:rPr>
              <w:t>2</w:t>
            </w:r>
            <w:r>
              <w:rPr>
                <w:rFonts w:hint="eastAsia" w:ascii="仿宋" w:hAnsi="仿宋" w:eastAsia="仿宋"/>
                <w:szCs w:val="21"/>
                <w:highlight w:val="none"/>
              </w:rPr>
              <w:t xml:space="preserve">分，扣完为止。 </w:t>
            </w:r>
          </w:p>
          <w:p w14:paraId="76F31A85">
            <w:pPr>
              <w:keepNext w:val="0"/>
              <w:keepLines w:val="0"/>
              <w:pageBreakBefore w:val="0"/>
              <w:kinsoku/>
              <w:overflowPunct/>
              <w:topLinePunct w:val="0"/>
              <w:autoSpaceDE/>
              <w:autoSpaceDN/>
              <w:bidi w:val="0"/>
              <w:spacing w:line="440" w:lineRule="exact"/>
              <w:rPr>
                <w:rFonts w:ascii="仿宋" w:hAnsi="仿宋" w:eastAsia="仿宋"/>
                <w:szCs w:val="21"/>
                <w:highlight w:val="none"/>
              </w:rPr>
            </w:pPr>
            <w:r>
              <w:rPr>
                <w:rFonts w:hint="eastAsia" w:ascii="仿宋" w:hAnsi="仿宋" w:eastAsia="仿宋"/>
                <w:szCs w:val="21"/>
                <w:highlight w:val="none"/>
              </w:rPr>
              <w:t>注：缺陷是指：内容与实际情况不符、内容与项目无关、内容表述错误、内容前后表述矛盾、内容与项目不匹配、项目信息错误、不符合本项目涉及的相关规范或标准要求的任意一种情形。</w:t>
            </w:r>
          </w:p>
        </w:tc>
        <w:tc>
          <w:tcPr>
            <w:tcW w:w="810" w:type="dxa"/>
            <w:vAlign w:val="center"/>
          </w:tcPr>
          <w:p w14:paraId="099619D4">
            <w:pPr>
              <w:keepNext w:val="0"/>
              <w:keepLines w:val="0"/>
              <w:pageBreakBefore w:val="0"/>
              <w:kinsoku/>
              <w:overflowPunct/>
              <w:topLinePunct w:val="0"/>
              <w:autoSpaceDE/>
              <w:autoSpaceDN/>
              <w:bidi w:val="0"/>
              <w:spacing w:line="500" w:lineRule="exact"/>
              <w:jc w:val="center"/>
              <w:rPr>
                <w:rFonts w:ascii="仿宋" w:hAnsi="仿宋" w:eastAsia="仿宋"/>
                <w:szCs w:val="21"/>
                <w:highlight w:val="none"/>
              </w:rPr>
            </w:pPr>
            <w:r>
              <w:rPr>
                <w:rFonts w:ascii="仿宋" w:hAnsi="仿宋" w:eastAsia="仿宋"/>
                <w:szCs w:val="21"/>
                <w:highlight w:val="none"/>
              </w:rPr>
              <w:t>/</w:t>
            </w:r>
          </w:p>
        </w:tc>
        <w:tc>
          <w:tcPr>
            <w:tcW w:w="925" w:type="dxa"/>
            <w:vAlign w:val="center"/>
          </w:tcPr>
          <w:p w14:paraId="0BFA018D">
            <w:pPr>
              <w:keepNext w:val="0"/>
              <w:keepLines w:val="0"/>
              <w:pageBreakBefore w:val="0"/>
              <w:kinsoku/>
              <w:overflowPunct/>
              <w:topLinePunct w:val="0"/>
              <w:autoSpaceDE/>
              <w:autoSpaceDN/>
              <w:bidi w:val="0"/>
              <w:spacing w:line="500" w:lineRule="exact"/>
              <w:rPr>
                <w:rFonts w:ascii="仿宋" w:hAnsi="仿宋" w:eastAsia="仿宋"/>
                <w:szCs w:val="21"/>
                <w:highlight w:val="none"/>
              </w:rPr>
            </w:pPr>
          </w:p>
        </w:tc>
      </w:tr>
      <w:tr w14:paraId="0E97F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675" w:type="dxa"/>
            <w:vAlign w:val="center"/>
          </w:tcPr>
          <w:p w14:paraId="741CDF7F">
            <w:pPr>
              <w:keepNext w:val="0"/>
              <w:keepLines w:val="0"/>
              <w:pageBreakBefore w:val="0"/>
              <w:kinsoku/>
              <w:overflowPunct/>
              <w:topLinePunct w:val="0"/>
              <w:autoSpaceDE/>
              <w:autoSpaceDN/>
              <w:bidi w:val="0"/>
              <w:spacing w:line="440" w:lineRule="exact"/>
              <w:ind w:firstLine="28"/>
              <w:jc w:val="center"/>
              <w:rPr>
                <w:rFonts w:hint="eastAsia" w:ascii="仿宋" w:hAnsi="仿宋" w:eastAsia="仿宋"/>
                <w:szCs w:val="21"/>
                <w:highlight w:val="none"/>
                <w:lang w:val="en-US" w:eastAsia="zh-CN"/>
              </w:rPr>
            </w:pPr>
            <w:r>
              <w:rPr>
                <w:rFonts w:hint="eastAsia" w:ascii="仿宋" w:hAnsi="仿宋" w:eastAsia="仿宋"/>
                <w:szCs w:val="21"/>
                <w:highlight w:val="none"/>
                <w:lang w:val="en-US" w:eastAsia="zh-CN"/>
              </w:rPr>
              <w:t>4</w:t>
            </w:r>
          </w:p>
        </w:tc>
        <w:tc>
          <w:tcPr>
            <w:tcW w:w="1275" w:type="dxa"/>
            <w:vAlign w:val="center"/>
          </w:tcPr>
          <w:p w14:paraId="3A452CC8">
            <w:pPr>
              <w:keepNext w:val="0"/>
              <w:keepLines w:val="0"/>
              <w:pageBreakBefore w:val="0"/>
              <w:kinsoku/>
              <w:overflowPunct/>
              <w:topLinePunct w:val="0"/>
              <w:autoSpaceDE/>
              <w:autoSpaceDN/>
              <w:bidi w:val="0"/>
              <w:spacing w:line="440" w:lineRule="exact"/>
              <w:jc w:val="center"/>
              <w:rPr>
                <w:rFonts w:hint="eastAsia" w:ascii="仿宋" w:hAnsi="仿宋" w:eastAsia="仿宋"/>
                <w:szCs w:val="21"/>
                <w:highlight w:val="none"/>
                <w:lang w:val="en-US" w:eastAsia="zh-CN"/>
              </w:rPr>
            </w:pPr>
            <w:r>
              <w:rPr>
                <w:rFonts w:hint="eastAsia" w:ascii="仿宋" w:hAnsi="仿宋" w:eastAsia="仿宋"/>
                <w:szCs w:val="21"/>
                <w:highlight w:val="none"/>
              </w:rPr>
              <w:t>履约经验</w:t>
            </w:r>
            <w:r>
              <w:rPr>
                <w:rFonts w:hint="eastAsia" w:ascii="仿宋" w:hAnsi="仿宋" w:eastAsia="仿宋"/>
                <w:szCs w:val="21"/>
                <w:highlight w:val="none"/>
                <w:lang w:val="en-US" w:eastAsia="zh-CN"/>
              </w:rPr>
              <w:t>10%</w:t>
            </w:r>
          </w:p>
          <w:p w14:paraId="7DCA6784">
            <w:pPr>
              <w:keepNext w:val="0"/>
              <w:keepLines w:val="0"/>
              <w:pageBreakBefore w:val="0"/>
              <w:kinsoku/>
              <w:overflowPunct/>
              <w:topLinePunct w:val="0"/>
              <w:autoSpaceDE/>
              <w:autoSpaceDN/>
              <w:bidi w:val="0"/>
              <w:spacing w:line="440" w:lineRule="exact"/>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（10分）</w:t>
            </w:r>
          </w:p>
        </w:tc>
        <w:tc>
          <w:tcPr>
            <w:tcW w:w="795" w:type="dxa"/>
            <w:vAlign w:val="center"/>
          </w:tcPr>
          <w:p w14:paraId="169BB7AD">
            <w:pPr>
              <w:keepNext w:val="0"/>
              <w:keepLines w:val="0"/>
              <w:pageBreakBefore w:val="0"/>
              <w:kinsoku/>
              <w:overflowPunct/>
              <w:topLinePunct w:val="0"/>
              <w:autoSpaceDE/>
              <w:autoSpaceDN/>
              <w:bidi w:val="0"/>
              <w:spacing w:line="440" w:lineRule="exact"/>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10分</w:t>
            </w:r>
          </w:p>
        </w:tc>
        <w:tc>
          <w:tcPr>
            <w:tcW w:w="6135" w:type="dxa"/>
            <w:vAlign w:val="center"/>
          </w:tcPr>
          <w:p w14:paraId="662D2D96">
            <w:pPr>
              <w:keepNext w:val="0"/>
              <w:keepLines w:val="0"/>
              <w:pageBreakBefore w:val="0"/>
              <w:kinsoku/>
              <w:overflowPunct/>
              <w:topLinePunct w:val="0"/>
              <w:autoSpaceDE/>
              <w:autoSpaceDN/>
              <w:bidi w:val="0"/>
              <w:spacing w:line="440" w:lineRule="exact"/>
              <w:rPr>
                <w:rFonts w:hint="eastAsia" w:ascii="仿宋" w:hAnsi="仿宋" w:eastAsia="仿宋"/>
                <w:szCs w:val="21"/>
                <w:highlight w:val="none"/>
              </w:rPr>
            </w:pPr>
            <w:r>
              <w:rPr>
                <w:rFonts w:hint="eastAsia" w:ascii="仿宋" w:hAnsi="仿宋" w:eastAsia="仿宋"/>
                <w:szCs w:val="21"/>
                <w:highlight w:val="none"/>
              </w:rPr>
              <w:t>根据供应商具有的同类产品销售业绩进行评审，供应商每提供一个同类产品销售业绩得</w:t>
            </w:r>
            <w:r>
              <w:rPr>
                <w:rFonts w:hint="eastAsia" w:ascii="仿宋" w:hAnsi="仿宋" w:eastAsia="仿宋"/>
                <w:szCs w:val="21"/>
                <w:highlight w:val="none"/>
                <w:lang w:val="en-US" w:eastAsia="zh-CN"/>
              </w:rPr>
              <w:t>1</w:t>
            </w:r>
            <w:r>
              <w:rPr>
                <w:rFonts w:hint="eastAsia" w:ascii="仿宋" w:hAnsi="仿宋" w:eastAsia="仿宋"/>
                <w:szCs w:val="21"/>
                <w:highlight w:val="none"/>
              </w:rPr>
              <w:t>分，最多得</w:t>
            </w:r>
            <w:r>
              <w:rPr>
                <w:rFonts w:hint="eastAsia" w:ascii="仿宋" w:hAnsi="仿宋" w:eastAsia="仿宋"/>
                <w:szCs w:val="21"/>
                <w:highlight w:val="none"/>
                <w:lang w:val="en-US" w:eastAsia="zh-CN"/>
              </w:rPr>
              <w:t>10</w:t>
            </w:r>
            <w:r>
              <w:rPr>
                <w:rFonts w:hint="eastAsia" w:ascii="仿宋" w:hAnsi="仿宋" w:eastAsia="仿宋"/>
                <w:szCs w:val="21"/>
                <w:highlight w:val="none"/>
              </w:rPr>
              <w:t xml:space="preserve">分。 </w:t>
            </w:r>
          </w:p>
          <w:p w14:paraId="677F5898">
            <w:pPr>
              <w:keepNext w:val="0"/>
              <w:keepLines w:val="0"/>
              <w:pageBreakBefore w:val="0"/>
              <w:kinsoku/>
              <w:overflowPunct/>
              <w:topLinePunct w:val="0"/>
              <w:autoSpaceDE/>
              <w:autoSpaceDN/>
              <w:bidi w:val="0"/>
              <w:spacing w:line="440" w:lineRule="exact"/>
              <w:rPr>
                <w:rFonts w:hint="eastAsia" w:ascii="仿宋" w:hAnsi="仿宋" w:eastAsia="仿宋"/>
                <w:szCs w:val="21"/>
                <w:highlight w:val="none"/>
              </w:rPr>
            </w:pPr>
            <w:r>
              <w:rPr>
                <w:rFonts w:hint="eastAsia" w:ascii="仿宋" w:hAnsi="仿宋" w:eastAsia="仿宋"/>
                <w:szCs w:val="21"/>
                <w:highlight w:val="none"/>
              </w:rPr>
              <w:t>注：提供销售合同扫描件或中标（成交）通知书扫描件。</w:t>
            </w:r>
          </w:p>
        </w:tc>
        <w:tc>
          <w:tcPr>
            <w:tcW w:w="810" w:type="dxa"/>
            <w:vAlign w:val="center"/>
          </w:tcPr>
          <w:p w14:paraId="1232C309">
            <w:pPr>
              <w:keepNext w:val="0"/>
              <w:keepLines w:val="0"/>
              <w:pageBreakBefore w:val="0"/>
              <w:kinsoku/>
              <w:overflowPunct/>
              <w:topLinePunct w:val="0"/>
              <w:autoSpaceDE/>
              <w:autoSpaceDN/>
              <w:bidi w:val="0"/>
              <w:spacing w:line="500" w:lineRule="exact"/>
              <w:jc w:val="center"/>
              <w:rPr>
                <w:rFonts w:hint="eastAsia" w:ascii="仿宋" w:hAnsi="仿宋" w:eastAsia="仿宋"/>
                <w:szCs w:val="21"/>
                <w:highlight w:val="none"/>
                <w:lang w:val="en-US" w:eastAsia="zh-CN"/>
              </w:rPr>
            </w:pPr>
            <w:r>
              <w:rPr>
                <w:rFonts w:hint="eastAsia" w:ascii="仿宋" w:hAnsi="仿宋" w:eastAsia="仿宋"/>
                <w:szCs w:val="21"/>
                <w:highlight w:val="none"/>
                <w:lang w:val="en-US" w:eastAsia="zh-CN"/>
              </w:rPr>
              <w:t>/</w:t>
            </w:r>
          </w:p>
        </w:tc>
        <w:tc>
          <w:tcPr>
            <w:tcW w:w="925" w:type="dxa"/>
            <w:vAlign w:val="center"/>
          </w:tcPr>
          <w:p w14:paraId="7C5D662D">
            <w:pPr>
              <w:keepNext w:val="0"/>
              <w:keepLines w:val="0"/>
              <w:pageBreakBefore w:val="0"/>
              <w:kinsoku/>
              <w:overflowPunct/>
              <w:topLinePunct w:val="0"/>
              <w:autoSpaceDE/>
              <w:autoSpaceDN/>
              <w:bidi w:val="0"/>
              <w:spacing w:line="500" w:lineRule="exact"/>
              <w:rPr>
                <w:rFonts w:hint="eastAsia" w:ascii="仿宋" w:hAnsi="仿宋" w:eastAsia="仿宋"/>
                <w:szCs w:val="21"/>
                <w:highlight w:val="none"/>
              </w:rPr>
            </w:pPr>
          </w:p>
        </w:tc>
      </w:tr>
    </w:tbl>
    <w:p w14:paraId="72FB546A">
      <w:pPr>
        <w:pStyle w:val="5"/>
        <w:rPr>
          <w:rFonts w:hint="default"/>
          <w:lang w:val="en-US" w:eastAsia="zh-CN"/>
        </w:rPr>
      </w:pPr>
      <w:bookmarkStart w:id="2" w:name="_GoBack"/>
      <w:bookmarkEnd w:id="2"/>
    </w:p>
    <w:sectPr>
      <w:footerReference r:id="rId3" w:type="default"/>
      <w:pgSz w:w="11906" w:h="16838"/>
      <w:pgMar w:top="1417" w:right="850" w:bottom="1417"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64454">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DC691C"/>
    <w:rsid w:val="01EE0DCD"/>
    <w:rsid w:val="02554973"/>
    <w:rsid w:val="0659173C"/>
    <w:rsid w:val="0DC61272"/>
    <w:rsid w:val="13D71558"/>
    <w:rsid w:val="13FB79ED"/>
    <w:rsid w:val="1C60245D"/>
    <w:rsid w:val="1C985A0D"/>
    <w:rsid w:val="268D5A41"/>
    <w:rsid w:val="291A3AEB"/>
    <w:rsid w:val="2B796EBE"/>
    <w:rsid w:val="2E76794E"/>
    <w:rsid w:val="300817D1"/>
    <w:rsid w:val="332B5D3D"/>
    <w:rsid w:val="34DB5F9F"/>
    <w:rsid w:val="38520016"/>
    <w:rsid w:val="3D5529A7"/>
    <w:rsid w:val="3DBC3894"/>
    <w:rsid w:val="3E960D7F"/>
    <w:rsid w:val="4962387D"/>
    <w:rsid w:val="4AA97E83"/>
    <w:rsid w:val="4BBE6CC9"/>
    <w:rsid w:val="5074152A"/>
    <w:rsid w:val="57CC719B"/>
    <w:rsid w:val="5A00477A"/>
    <w:rsid w:val="5E9952E6"/>
    <w:rsid w:val="60445419"/>
    <w:rsid w:val="620D4B02"/>
    <w:rsid w:val="627D77E8"/>
    <w:rsid w:val="6A7A7481"/>
    <w:rsid w:val="6B9F1111"/>
    <w:rsid w:val="70280265"/>
    <w:rsid w:val="72D2075E"/>
    <w:rsid w:val="74324BCE"/>
    <w:rsid w:val="74D53826"/>
    <w:rsid w:val="7FCB3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200" w:firstLineChars="200"/>
    </w:pPr>
  </w:style>
  <w:style w:type="paragraph" w:styleId="4">
    <w:name w:val="annotation text"/>
    <w:basedOn w:val="1"/>
    <w:semiHidden/>
    <w:unhideWhenUsed/>
    <w:qFormat/>
    <w:uiPriority w:val="99"/>
    <w:pPr>
      <w:jc w:val="left"/>
    </w:pPr>
  </w:style>
  <w:style w:type="paragraph" w:styleId="5">
    <w:name w:val="Body Text"/>
    <w:basedOn w:val="1"/>
    <w:next w:val="1"/>
    <w:semiHidden/>
    <w:unhideWhenUsed/>
    <w:qFormat/>
    <w:uiPriority w:val="0"/>
    <w:pPr>
      <w:spacing w:after="120"/>
    </w:pPr>
  </w:style>
  <w:style w:type="paragraph" w:styleId="6">
    <w:name w:val="Date"/>
    <w:basedOn w:val="1"/>
    <w:next w:val="1"/>
    <w:link w:val="24"/>
    <w:semiHidden/>
    <w:unhideWhenUsed/>
    <w:qFormat/>
    <w:uiPriority w:val="99"/>
    <w:pPr>
      <w:ind w:left="100" w:leftChars="2500"/>
    </w:pPr>
  </w:style>
  <w:style w:type="paragraph" w:styleId="7">
    <w:name w:val="endnote text"/>
    <w:basedOn w:val="1"/>
    <w:qFormat/>
    <w:uiPriority w:val="0"/>
    <w:pPr>
      <w:snapToGrid w:val="0"/>
      <w:jc w:val="left"/>
    </w:pPr>
  </w:style>
  <w:style w:type="paragraph" w:styleId="8">
    <w:name w:val="Balloon Text"/>
    <w:basedOn w:val="1"/>
    <w:link w:val="25"/>
    <w:semiHidden/>
    <w:unhideWhenUsed/>
    <w:qFormat/>
    <w:uiPriority w:val="99"/>
    <w:rPr>
      <w:sz w:val="18"/>
      <w:szCs w:val="18"/>
    </w:r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after="160" w:line="259" w:lineRule="auto"/>
    </w:pPr>
    <w:rPr>
      <w:rFonts w:ascii="Calibri" w:hAnsi="Calibri" w:eastAsia="宋体" w:cs="Times New Roman"/>
      <w:szCs w:val="24"/>
    </w:rPr>
  </w:style>
  <w:style w:type="paragraph" w:styleId="12">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6">
    <w:name w:val="page number"/>
    <w:qFormat/>
    <w:uiPriority w:val="0"/>
  </w:style>
  <w:style w:type="character" w:styleId="17">
    <w:name w:val="Hyperlink"/>
    <w:basedOn w:val="15"/>
    <w:unhideWhenUsed/>
    <w:qFormat/>
    <w:uiPriority w:val="99"/>
    <w:rPr>
      <w:color w:val="0000FF" w:themeColor="hyperlink"/>
      <w:u w:val="single"/>
    </w:rPr>
  </w:style>
  <w:style w:type="character" w:customStyle="1" w:styleId="18">
    <w:name w:val="页眉 Char"/>
    <w:basedOn w:val="15"/>
    <w:link w:val="10"/>
    <w:qFormat/>
    <w:uiPriority w:val="99"/>
    <w:rPr>
      <w:sz w:val="18"/>
      <w:szCs w:val="18"/>
    </w:rPr>
  </w:style>
  <w:style w:type="character" w:customStyle="1" w:styleId="19">
    <w:name w:val="页脚 Char"/>
    <w:basedOn w:val="15"/>
    <w:link w:val="9"/>
    <w:qFormat/>
    <w:uiPriority w:val="99"/>
    <w:rPr>
      <w:sz w:val="18"/>
      <w:szCs w:val="18"/>
    </w:rPr>
  </w:style>
  <w:style w:type="paragraph" w:styleId="20">
    <w:name w:val="List Paragraph"/>
    <w:basedOn w:val="1"/>
    <w:qFormat/>
    <w:uiPriority w:val="34"/>
    <w:pPr>
      <w:ind w:firstLine="420" w:firstLineChars="200"/>
    </w:pPr>
  </w:style>
  <w:style w:type="character" w:customStyle="1" w:styleId="21">
    <w:name w:val="标题 2 Char"/>
    <w:basedOn w:val="15"/>
    <w:link w:val="2"/>
    <w:qFormat/>
    <w:uiPriority w:val="9"/>
    <w:rPr>
      <w:rFonts w:ascii="Arial" w:hAnsi="Arial" w:eastAsia="黑体" w:cs="Times New Roman"/>
      <w:b/>
      <w:bCs/>
      <w:sz w:val="32"/>
      <w:szCs w:val="32"/>
    </w:rPr>
  </w:style>
  <w:style w:type="character" w:customStyle="1" w:styleId="22">
    <w:name w:val="列出段落 Char"/>
    <w:link w:val="23"/>
    <w:qFormat/>
    <w:uiPriority w:val="34"/>
    <w:rPr>
      <w:rFonts w:ascii="宋体" w:hAnsi="宋体" w:cs="宋体"/>
      <w:sz w:val="24"/>
      <w:szCs w:val="24"/>
    </w:rPr>
  </w:style>
  <w:style w:type="paragraph" w:customStyle="1" w:styleId="23">
    <w:name w:val="列出段落1"/>
    <w:basedOn w:val="1"/>
    <w:link w:val="22"/>
    <w:qFormat/>
    <w:uiPriority w:val="34"/>
    <w:pPr>
      <w:widowControl/>
      <w:ind w:firstLine="420" w:firstLineChars="200"/>
      <w:jc w:val="left"/>
    </w:pPr>
    <w:rPr>
      <w:rFonts w:ascii="宋体" w:hAnsi="宋体" w:cs="宋体"/>
      <w:sz w:val="24"/>
      <w:szCs w:val="24"/>
    </w:rPr>
  </w:style>
  <w:style w:type="character" w:customStyle="1" w:styleId="24">
    <w:name w:val="日期 Char"/>
    <w:basedOn w:val="15"/>
    <w:link w:val="6"/>
    <w:semiHidden/>
    <w:qFormat/>
    <w:uiPriority w:val="99"/>
  </w:style>
  <w:style w:type="character" w:customStyle="1" w:styleId="25">
    <w:name w:val="批注框文本 Char"/>
    <w:basedOn w:val="15"/>
    <w:link w:val="8"/>
    <w:semiHidden/>
    <w:qFormat/>
    <w:uiPriority w:val="99"/>
    <w:rPr>
      <w:sz w:val="18"/>
      <w:szCs w:val="18"/>
    </w:rPr>
  </w:style>
  <w:style w:type="character" w:customStyle="1" w:styleId="26">
    <w:name w:val="font01"/>
    <w:basedOn w:val="15"/>
    <w:qFormat/>
    <w:uiPriority w:val="0"/>
    <w:rPr>
      <w:rFonts w:hint="eastAsia" w:ascii="宋体" w:hAnsi="宋体" w:eastAsia="宋体" w:cs="宋体"/>
      <w:color w:val="000000"/>
      <w:sz w:val="22"/>
      <w:szCs w:val="22"/>
      <w:u w:val="none"/>
    </w:rPr>
  </w:style>
  <w:style w:type="paragraph" w:customStyle="1" w:styleId="27">
    <w:name w:val="正文首行缩进两字符"/>
    <w:basedOn w:val="1"/>
    <w:qFormat/>
    <w:uiPriority w:val="0"/>
    <w:pPr>
      <w:spacing w:line="360" w:lineRule="auto"/>
      <w:ind w:firstLine="200" w:firstLineChars="200"/>
    </w:pPr>
  </w:style>
  <w:style w:type="paragraph" w:customStyle="1" w:styleId="28">
    <w:name w:val="样式 首行缩进:  2 字符"/>
    <w:basedOn w:val="1"/>
    <w:autoRedefine/>
    <w:qFormat/>
    <w:uiPriority w:val="99"/>
    <w:pPr>
      <w:spacing w:line="400" w:lineRule="exact"/>
      <w:ind w:firstLine="200" w:firstLineChars="200"/>
    </w:pPr>
    <w:rPr>
      <w:rFonts w:cs="宋体"/>
      <w:sz w:val="24"/>
    </w:rPr>
  </w:style>
  <w:style w:type="paragraph" w:customStyle="1" w:styleId="2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3321</Words>
  <Characters>3697</Characters>
  <Lines>14</Lines>
  <Paragraphs>4</Paragraphs>
  <TotalTime>143</TotalTime>
  <ScaleCrop>false</ScaleCrop>
  <LinksUpToDate>false</LinksUpToDate>
  <CharactersWithSpaces>3741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2025-03-17T06:27:00Z</cp:lastPrinted>
  <dcterms:modified xsi:type="dcterms:W3CDTF">2025-03-25T08:19:54Z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EC3FD689C5D342D799BD160DC760BFDB</vt:lpwstr>
  </property>
  <property fmtid="{D5CDD505-2E9C-101B-9397-08002B2CF9AE}" pid="4" name="KSOTemplateDocerSaveRecord">
    <vt:lpwstr>eyJoZGlkIjoiM2Y2MjE2NWRiNWExODdlZTQ4NmVmMGRlZmE1OTlkMzciLCJ1c2VySWQiOiIzODE0OTM3MTIifQ==</vt:lpwstr>
  </property>
</Properties>
</file>