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4F37F">
      <w:pPr>
        <w:spacing w:beforeLines="0" w:line="500" w:lineRule="exact"/>
        <w:jc w:val="left"/>
        <w:rPr>
          <w:rFonts w:hint="eastAsia" w:ascii="Arial" w:hAnsi="Arial" w:eastAsia="黑体" w:cs="Times New Roman"/>
          <w:b/>
          <w:bCs/>
          <w:sz w:val="32"/>
          <w:szCs w:val="3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</w:t>
      </w:r>
      <w:r>
        <w:rPr>
          <w:rFonts w:hint="eastAsia" w:ascii="Arial" w:hAnsi="Arial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>需求</w:t>
      </w:r>
    </w:p>
    <w:p w14:paraId="2D9CB603">
      <w:pPr>
        <w:spacing w:beforeLines="0" w:line="500" w:lineRule="exac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highlight w:val="none"/>
        </w:rPr>
        <w:t>本章中标注“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★</w:t>
      </w:r>
      <w:r>
        <w:rPr>
          <w:rFonts w:hint="eastAsia" w:ascii="宋体" w:hAnsi="宋体" w:eastAsia="宋体" w:cs="宋体"/>
          <w:sz w:val="24"/>
          <w:highlight w:val="none"/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）</w:t>
      </w:r>
    </w:p>
    <w:p w14:paraId="32C9D1DC">
      <w:pPr>
        <w:spacing w:beforeLines="0" w:line="500" w:lineRule="exact"/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</w:rPr>
        <w:t>项目概述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eastAsia="zh-CN"/>
        </w:rPr>
        <w:t>：</w:t>
      </w:r>
    </w:p>
    <w:p w14:paraId="7BAA23BE">
      <w:pPr>
        <w:spacing w:beforeLines="0" w:line="500" w:lineRule="exact"/>
        <w:ind w:firstLine="480" w:firstLineChars="200"/>
        <w:rPr>
          <w:rFonts w:hint="eastAsia"/>
        </w:rPr>
      </w:pPr>
      <w:r>
        <w:rPr>
          <w:rFonts w:hint="eastAsia" w:ascii="宋体" w:hAnsi="宋体" w:eastAsia="宋体" w:cs="宋体"/>
          <w:sz w:val="24"/>
          <w:szCs w:val="22"/>
          <w:highlight w:val="none"/>
        </w:rPr>
        <w:t>本项目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个包，采购成都市龙泉驿区妇幼保健院</w:t>
      </w:r>
      <w:r>
        <w:rPr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注意力及认知能力训练系统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，具体内容如下：</w:t>
      </w:r>
    </w:p>
    <w:tbl>
      <w:tblPr>
        <w:tblStyle w:val="14"/>
        <w:tblW w:w="10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3972"/>
        <w:gridCol w:w="1372"/>
        <w:gridCol w:w="1575"/>
        <w:gridCol w:w="2619"/>
      </w:tblGrid>
      <w:tr w14:paraId="19A37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60" w:type="dxa"/>
            <w:vAlign w:val="center"/>
          </w:tcPr>
          <w:p w14:paraId="3BE20418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包号</w:t>
            </w:r>
          </w:p>
        </w:tc>
        <w:tc>
          <w:tcPr>
            <w:tcW w:w="3972" w:type="dxa"/>
            <w:vAlign w:val="center"/>
          </w:tcPr>
          <w:p w14:paraId="030099C6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1372" w:type="dxa"/>
            <w:vAlign w:val="center"/>
          </w:tcPr>
          <w:p w14:paraId="537F17C5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575" w:type="dxa"/>
            <w:vAlign w:val="center"/>
          </w:tcPr>
          <w:p w14:paraId="4D75BC0F">
            <w:pPr>
              <w:pStyle w:val="5"/>
              <w:spacing w:beforeLines="0" w:after="0"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619" w:type="dxa"/>
            <w:vAlign w:val="center"/>
          </w:tcPr>
          <w:p w14:paraId="144EE2CB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最高限价（元）</w:t>
            </w:r>
          </w:p>
        </w:tc>
      </w:tr>
      <w:tr w14:paraId="77D3E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860" w:type="dxa"/>
            <w:vAlign w:val="center"/>
          </w:tcPr>
          <w:p w14:paraId="225C8AD4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3972" w:type="dxa"/>
            <w:vAlign w:val="center"/>
          </w:tcPr>
          <w:p w14:paraId="2C82BB60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lang w:val="en-US" w:eastAsia="zh-CN"/>
              </w:rPr>
              <w:t>注意力测评训练系统</w:t>
            </w:r>
          </w:p>
        </w:tc>
        <w:tc>
          <w:tcPr>
            <w:tcW w:w="1372" w:type="dxa"/>
            <w:vAlign w:val="center"/>
          </w:tcPr>
          <w:p w14:paraId="5E3F85EE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75" w:type="dxa"/>
            <w:vAlign w:val="center"/>
          </w:tcPr>
          <w:p w14:paraId="2288067A">
            <w:pPr>
              <w:pStyle w:val="5"/>
              <w:spacing w:beforeLines="0" w:after="0"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2619" w:type="dxa"/>
            <w:vAlign w:val="center"/>
          </w:tcPr>
          <w:p w14:paraId="76614FD6">
            <w:pPr>
              <w:pStyle w:val="5"/>
              <w:spacing w:beforeLines="0" w:after="0" w:line="50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299000.00</w:t>
            </w:r>
          </w:p>
        </w:tc>
      </w:tr>
    </w:tbl>
    <w:p w14:paraId="5D8361E1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00" w:lineRule="exact"/>
        <w:ind w:left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★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二、商务要求：</w:t>
      </w:r>
    </w:p>
    <w:p w14:paraId="7145D37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1．交货时间及地点</w:t>
      </w:r>
    </w:p>
    <w:p w14:paraId="4FA45AC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1.1 交货时间：</w:t>
      </w:r>
    </w:p>
    <w:p w14:paraId="50789AB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按双方正式合同签署生效后30天期限内实施完成安装、调试。由于医院场地等原因导致实施安装调试延期，成交人予以配合和理解。</w:t>
      </w:r>
    </w:p>
    <w:p w14:paraId="0DE09FD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1.2 交货地点: 成都市龙泉驿区妇幼保健院。</w:t>
      </w:r>
    </w:p>
    <w:p w14:paraId="3A3FFF5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color w:val="000000" w:themeColor="text1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2．</w:t>
      </w:r>
      <w:r>
        <w:rPr>
          <w:rFonts w:hint="eastAsia" w:ascii="宋体" w:hAnsi="宋体" w:eastAsia="宋体" w:cs="宋体"/>
          <w:bCs/>
          <w:color w:val="000000" w:themeColor="text1"/>
          <w:kern w:val="2"/>
          <w:sz w:val="24"/>
          <w:szCs w:val="24"/>
          <w:lang w:val="en-US" w:eastAsia="zh-CN" w:bidi="ar"/>
        </w:rPr>
        <w:t>付款方法：</w:t>
      </w:r>
    </w:p>
    <w:p w14:paraId="147E3E08">
      <w:pPr>
        <w:pStyle w:val="28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beforeLines="0" w:line="500" w:lineRule="exact"/>
        <w:ind w:firstLine="420" w:firstLineChars="175"/>
        <w:textAlignment w:val="baseline"/>
        <w:rPr>
          <w:rFonts w:hAnsi="宋体"/>
          <w:color w:val="000000" w:themeColor="text1"/>
        </w:rPr>
      </w:pPr>
      <w:r>
        <w:rPr>
          <w:rFonts w:hint="eastAsia" w:ascii="宋体" w:hAnsi="宋体" w:eastAsia="宋体"/>
          <w:bCs/>
        </w:rPr>
        <w:t xml:space="preserve">2.1 </w:t>
      </w:r>
      <w:r>
        <w:rPr>
          <w:rFonts w:hint="eastAsia" w:hAnsi="宋体"/>
          <w:color w:val="000000" w:themeColor="text1"/>
        </w:rPr>
        <w:t>合同签订后，安装调试完毕并经科室确认后，甲方接到乙方通知与票据凭证资料后，向乙方核拨预付款，合同总金额的</w:t>
      </w:r>
      <w:r>
        <w:rPr>
          <w:rFonts w:hint="eastAsia" w:hAnsi="宋体"/>
          <w:color w:val="000000" w:themeColor="text1"/>
          <w:lang w:val="en-US" w:eastAsia="zh-CN"/>
        </w:rPr>
        <w:t>5</w:t>
      </w:r>
      <w:r>
        <w:rPr>
          <w:rFonts w:hint="eastAsia" w:hAnsi="宋体"/>
          <w:color w:val="000000" w:themeColor="text1"/>
        </w:rPr>
        <w:t>0%款项；</w:t>
      </w:r>
    </w:p>
    <w:p w14:paraId="535594E1">
      <w:pPr>
        <w:pStyle w:val="28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beforeLines="0" w:line="500" w:lineRule="exact"/>
        <w:ind w:firstLine="420" w:firstLineChars="175"/>
        <w:textAlignment w:val="baseline"/>
        <w:rPr>
          <w:rFonts w:hAnsi="宋体"/>
          <w:color w:val="000000" w:themeColor="text1"/>
        </w:rPr>
      </w:pPr>
      <w:r>
        <w:rPr>
          <w:rFonts w:ascii="宋体" w:hAnsi="宋体" w:eastAsia="宋体"/>
          <w:bCs/>
        </w:rPr>
        <w:t>2.2</w:t>
      </w:r>
      <w:r>
        <w:rPr>
          <w:rFonts w:hint="eastAsia" w:ascii="宋体" w:hAnsi="宋体" w:eastAsia="宋体"/>
          <w:bCs/>
          <w:lang w:val="en-US" w:eastAsia="zh-CN"/>
        </w:rPr>
        <w:t xml:space="preserve"> </w:t>
      </w:r>
      <w:r>
        <w:rPr>
          <w:rFonts w:hint="eastAsia" w:hAnsi="宋体"/>
          <w:color w:val="000000" w:themeColor="text1"/>
          <w:lang w:val="en-US" w:eastAsia="zh-CN"/>
        </w:rPr>
        <w:t>正常运行使用30日，</w:t>
      </w:r>
      <w:r>
        <w:rPr>
          <w:rFonts w:hint="eastAsia" w:hAnsi="宋体"/>
          <w:color w:val="000000" w:themeColor="text1"/>
        </w:rPr>
        <w:t>乙方提交验收报告并经科室确认后，甲方接到乙方通知与票据凭证资料后，向乙方核拨合同总金额的40%款项；</w:t>
      </w:r>
    </w:p>
    <w:p w14:paraId="3770AD28">
      <w:pPr>
        <w:pStyle w:val="28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beforeLines="0" w:line="500" w:lineRule="exact"/>
        <w:ind w:firstLine="420" w:firstLineChars="175"/>
        <w:textAlignment w:val="baseline"/>
        <w:rPr>
          <w:rFonts w:hAnsi="宋体"/>
          <w:color w:val="000000" w:themeColor="text1"/>
        </w:rPr>
      </w:pPr>
      <w:r>
        <w:rPr>
          <w:rFonts w:ascii="宋体" w:hAnsi="宋体" w:eastAsia="宋体"/>
          <w:bCs/>
        </w:rPr>
        <w:t>2.3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软件系统经运行一年后，</w:t>
      </w:r>
      <w:r>
        <w:rPr>
          <w:rFonts w:hint="eastAsia" w:hAnsi="宋体"/>
          <w:color w:val="000000" w:themeColor="text1"/>
        </w:rPr>
        <w:t>乙方提交</w:t>
      </w:r>
      <w:r>
        <w:rPr>
          <w:rFonts w:hint="eastAsia" w:hAnsi="宋体"/>
          <w:color w:val="000000" w:themeColor="text1"/>
          <w:lang w:val="en-US" w:eastAsia="zh-CN"/>
        </w:rPr>
        <w:t>最终</w:t>
      </w:r>
      <w:r>
        <w:rPr>
          <w:rFonts w:hint="eastAsia" w:hAnsi="宋体"/>
          <w:color w:val="000000" w:themeColor="text1"/>
        </w:rPr>
        <w:t>验收报告，经科室确认后，甲方接到乙方通知与票据凭证资料后，向乙方核拨合同总金额的10%款项；</w:t>
      </w:r>
    </w:p>
    <w:p w14:paraId="7FC02BD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Lines="0" w:line="500" w:lineRule="exact"/>
        <w:ind w:firstLine="420" w:firstLineChars="175"/>
        <w:rPr>
          <w:rFonts w:ascii="宋体" w:hAnsi="宋体" w:eastAsia="宋体" w:cs="宋体"/>
          <w:bCs/>
          <w:sz w:val="24"/>
        </w:rPr>
      </w:pPr>
      <w:r>
        <w:rPr>
          <w:rFonts w:ascii="宋体" w:hAnsi="宋体" w:eastAsia="宋体" w:cs="宋体"/>
          <w:bCs/>
          <w:sz w:val="24"/>
        </w:rPr>
        <w:t>2.</w:t>
      </w:r>
      <w:r>
        <w:rPr>
          <w:rFonts w:hint="eastAsia" w:ascii="宋体" w:hAnsi="宋体" w:eastAsia="宋体" w:cs="宋体"/>
          <w:bCs/>
          <w:sz w:val="24"/>
        </w:rPr>
        <w:t>4 付款条件：每次款项的支付前提均为采购人在收到中标人出具的正规发票30日内予以办理款项的支付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流程</w:t>
      </w:r>
      <w:r>
        <w:rPr>
          <w:rFonts w:hint="eastAsia" w:ascii="宋体" w:hAnsi="宋体" w:eastAsia="宋体" w:cs="宋体"/>
          <w:bCs/>
          <w:sz w:val="24"/>
        </w:rPr>
        <w:t>。</w:t>
      </w:r>
    </w:p>
    <w:p w14:paraId="3AC9C4AD"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验收：</w:t>
      </w:r>
    </w:p>
    <w:p w14:paraId="3E2179F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成交人与采购人按照财政部关于印发《财政部关于进一步加强政府采购需求和履约验收管理的指导意见》的通知要求进行验收，</w:t>
      </w:r>
      <w:r>
        <w:rPr>
          <w:rFonts w:hint="default" w:ascii="宋体" w:hAnsi="宋体" w:eastAsia="宋体" w:cs="宋体"/>
          <w:bCs/>
          <w:kern w:val="2"/>
          <w:sz w:val="24"/>
          <w:szCs w:val="24"/>
          <w:lang w:val="en-US" w:eastAsia="zh-CN" w:bidi="ar"/>
        </w:rPr>
        <w:t>采购方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有权邀请第三方机构或质检部门共同验收。</w:t>
      </w:r>
    </w:p>
    <w:p w14:paraId="4382988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3.1 验收方法：成交人在完成安装培训并投入正式使用后进行验收，并提供全部有关产品说明书、技术文件、资料，以及安装、测试、验收报告等文档汇集成册交付采购单位。</w:t>
      </w:r>
    </w:p>
    <w:p w14:paraId="7B6E547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3.2 验收标准：符合国家相关规定，并按照相关技术要求进行工作，并完全满足采购人提出的工作需要；</w:t>
      </w:r>
    </w:p>
    <w:p w14:paraId="30E5DC0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3.3 验收时间要求：成交人必须响应对其所提供的全部系统进行安装、测试和联网调试，正常运行双方确认合格行验收。  </w:t>
      </w:r>
    </w:p>
    <w:p w14:paraId="5CD2710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3.4 其他要求：验收不合格时，采购人和成交人应协商一致，成交人应根据相关验收要求及时补足或整改，所产生费用用成交人自行承担。</w:t>
      </w:r>
    </w:p>
    <w:p w14:paraId="6175D82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4. 系统质保和维护</w:t>
      </w:r>
    </w:p>
    <w:p w14:paraId="6375F3F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4.1 </w:t>
      </w:r>
      <w:r>
        <w:rPr>
          <w:rFonts w:hint="eastAsia" w:ascii="宋体" w:hAnsi="宋体" w:eastAsia="宋体" w:cs="宋体"/>
          <w:bCs/>
          <w:sz w:val="24"/>
        </w:rPr>
        <w:t>质保期：不低于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壹</w:t>
      </w:r>
      <w:r>
        <w:rPr>
          <w:rFonts w:hint="eastAsia" w:ascii="宋体" w:hAnsi="宋体" w:eastAsia="宋体" w:cs="宋体"/>
          <w:bCs/>
          <w:sz w:val="24"/>
        </w:rPr>
        <w:t>年，质保期从验收合格之日起计算。</w:t>
      </w:r>
    </w:p>
    <w:p w14:paraId="38344C7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420" w:firstLineChars="175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4.2 供应商需提供的服务内容至少包括：</w:t>
      </w:r>
    </w:p>
    <w:p w14:paraId="2F51DEE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420" w:firstLineChars="175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4.2.1 质保期内在系统发生严重故障的情况下，供应商应在2小时内响应；</w:t>
      </w:r>
    </w:p>
    <w:p w14:paraId="03B8FEEA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00" w:lineRule="exact"/>
        <w:ind w:left="0" w:firstLine="420" w:firstLineChars="175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4.2.2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提供现场技术支持、故障处理和电话、远程技术支持服务；</w:t>
      </w:r>
    </w:p>
    <w:p w14:paraId="5C65EA86">
      <w:pPr>
        <w:spacing w:beforeLines="0" w:after="0" w:line="500" w:lineRule="exact"/>
        <w:ind w:left="0" w:leftChars="0" w:firstLine="420" w:firstLineChars="175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4.2.3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软件升级与更新服务、软件需求上线后跟踪维护服务。</w:t>
      </w:r>
    </w:p>
    <w:p w14:paraId="7E7E8D14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00" w:lineRule="exact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highlight w:val="none"/>
          <w:lang w:val="en-US" w:eastAsia="zh-CN"/>
        </w:rPr>
        <w:t>三、</w:t>
      </w:r>
      <w:r>
        <w:rPr>
          <w:rFonts w:hint="eastAsia" w:asciiTheme="minorEastAsia" w:hAnsiTheme="minorEastAsia" w:cstheme="minorEastAsia"/>
          <w:b/>
          <w:bCs w:val="0"/>
          <w:sz w:val="24"/>
          <w:szCs w:val="24"/>
          <w:highlight w:val="none"/>
          <w:lang w:val="en-US" w:eastAsia="zh-CN"/>
        </w:rPr>
        <w:t>项目要求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highlight w:val="none"/>
        </w:rPr>
        <w:t>：</w:t>
      </w:r>
    </w:p>
    <w:p w14:paraId="319A4536">
      <w:pPr>
        <w:widowControl/>
        <w:numPr>
          <w:ilvl w:val="0"/>
          <w:numId w:val="0"/>
        </w:numPr>
        <w:spacing w:beforeLines="0" w:line="500" w:lineRule="exact"/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b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b/>
          <w:color w:val="000000"/>
          <w:kern w:val="0"/>
          <w:sz w:val="24"/>
          <w:szCs w:val="24"/>
          <w:lang w:val="en-US" w:eastAsia="zh-CN"/>
        </w:rPr>
        <w:t>一</w:t>
      </w:r>
      <w:r>
        <w:rPr>
          <w:rFonts w:hint="eastAsia" w:asciiTheme="minorEastAsia" w:hAnsiTheme="minorEastAsia" w:cstheme="minorEastAsia"/>
          <w:b/>
          <w:color w:val="000000"/>
          <w:kern w:val="0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cstheme="minorEastAsia"/>
          <w:b/>
          <w:color w:val="000000"/>
          <w:kern w:val="0"/>
          <w:sz w:val="24"/>
          <w:szCs w:val="24"/>
        </w:rPr>
        <w:t>硬件设备需求：</w:t>
      </w:r>
    </w:p>
    <w:p w14:paraId="4F6940C9">
      <w:pPr>
        <w:widowControl/>
        <w:numPr>
          <w:ilvl w:val="0"/>
          <w:numId w:val="0"/>
        </w:numPr>
        <w:spacing w:beforeLines="0" w:line="500" w:lineRule="exact"/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lang w:val="en-US" w:eastAsia="zh-CN"/>
        </w:rPr>
        <w:t>CPU：酷睿i5-12500及以上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；</w:t>
      </w: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lang w:val="en-US" w:eastAsia="zh-CN"/>
        </w:rPr>
        <w:t>内存：DDR4 3200 32G（16G*2或单条32G均可）及以上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；</w:t>
      </w: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lang w:val="en-US" w:eastAsia="zh-CN"/>
        </w:rPr>
        <w:t>硬盘存储：不低于256GB+1T（M2+机械）机械用于数据库及数据备份。</w:t>
      </w:r>
    </w:p>
    <w:p w14:paraId="4F45BC56">
      <w:pPr>
        <w:widowControl/>
        <w:numPr>
          <w:ilvl w:val="0"/>
          <w:numId w:val="0"/>
        </w:numPr>
        <w:spacing w:beforeLines="0" w:line="500" w:lineRule="exact"/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lang w:val="en-US" w:eastAsia="zh-CN"/>
        </w:rPr>
        <w:t>操作系统：Win10或11专业版；USB接口：≥6个USB;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显示屏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≥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23英寸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可方便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触摸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操作。</w:t>
      </w:r>
    </w:p>
    <w:p w14:paraId="6C359015">
      <w:pPr>
        <w:widowControl/>
        <w:spacing w:beforeLines="0" w:line="500" w:lineRule="exact"/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3、支持包括不限于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耳机接口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 xml:space="preserve">3.5MM 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麦克风接口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频输出接口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及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网线接口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支持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WIFI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蓝牙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前置摄像头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及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</w:rPr>
        <w:t>内置双喇叭</w:t>
      </w: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eastAsia="zh-CN"/>
        </w:rPr>
        <w:t>。</w:t>
      </w:r>
    </w:p>
    <w:p w14:paraId="2AAEE917">
      <w:pPr>
        <w:adjustRightInd w:val="0"/>
        <w:snapToGrid w:val="0"/>
        <w:spacing w:beforeLines="0" w:line="500" w:lineRule="exact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bCs/>
          <w:color w:val="000000"/>
          <w:kern w:val="0"/>
          <w:sz w:val="24"/>
          <w:szCs w:val="24"/>
          <w:lang w:val="en-US" w:eastAsia="zh-CN"/>
        </w:rPr>
        <w:t>4、数据采集设备：需要</w:t>
      </w:r>
      <w:r>
        <w:rPr>
          <w:rFonts w:hint="eastAsia" w:asciiTheme="minorEastAsia" w:hAnsiTheme="minorEastAsia" w:cstheme="minorEastAsia"/>
          <w:sz w:val="24"/>
          <w:szCs w:val="24"/>
        </w:rPr>
        <w:t>头戴式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收集数据方式，可</w:t>
      </w:r>
      <w:r>
        <w:rPr>
          <w:rFonts w:hint="eastAsia" w:asciiTheme="minorEastAsia" w:hAnsiTheme="minorEastAsia" w:cstheme="minorEastAsia"/>
          <w:sz w:val="24"/>
          <w:szCs w:val="24"/>
        </w:rPr>
        <w:t>无线传输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支持</w:t>
      </w:r>
      <w:r>
        <w:rPr>
          <w:rFonts w:hint="eastAsia" w:asciiTheme="minorEastAsia" w:hAnsiTheme="minorEastAsia" w:cstheme="minorEastAsia"/>
          <w:sz w:val="24"/>
          <w:szCs w:val="24"/>
        </w:rPr>
        <w:t>额头及耳部两处传感器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4"/>
        </w:rPr>
        <w:t>能够采集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至少</w:t>
      </w:r>
      <w:r>
        <w:rPr>
          <w:rFonts w:hint="eastAsia" w:asciiTheme="minorEastAsia" w:hAnsiTheme="minorEastAsia" w:cstheme="minorEastAsia"/>
          <w:sz w:val="24"/>
          <w:szCs w:val="24"/>
        </w:rPr>
        <w:t>2种α波、2种β波、2种γ波、以及θ波、δ波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等</w:t>
      </w:r>
      <w:r>
        <w:rPr>
          <w:rFonts w:hint="eastAsia" w:asciiTheme="minorEastAsia" w:hAnsiTheme="minorEastAsia" w:cstheme="minorEastAsia"/>
          <w:sz w:val="24"/>
          <w:szCs w:val="24"/>
        </w:rPr>
        <w:t>脑波，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并根据采集的数据生成专注度、放松度指数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等</w:t>
      </w:r>
      <w:r>
        <w:rPr>
          <w:rFonts w:hint="eastAsia" w:asciiTheme="minorEastAsia" w:hAnsiTheme="minorEastAsia" w:cstheme="minorEastAsia"/>
          <w:sz w:val="24"/>
          <w:szCs w:val="24"/>
        </w:rPr>
        <w:t>。</w:t>
      </w:r>
    </w:p>
    <w:p w14:paraId="49B7092E">
      <w:pPr>
        <w:spacing w:beforeLines="0" w:line="500" w:lineRule="exact"/>
        <w:rPr>
          <w:rFonts w:hint="eastAsia" w:asciiTheme="minorEastAsia" w:hAnsi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（二）</w:t>
      </w: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软件内容需求：</w:t>
      </w:r>
    </w:p>
    <w:p w14:paraId="5D692D72">
      <w:pPr>
        <w:spacing w:beforeLines="0" w:line="500" w:lineRule="exact"/>
        <w:rPr>
          <w:rFonts w:hint="eastAsia" w:asciiTheme="minorEastAsia" w:hAnsi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▲5、可检查测评儿童</w:t>
      </w:r>
      <w:r>
        <w:rPr>
          <w:rFonts w:hint="eastAsia" w:asciiTheme="minorEastAsia" w:hAnsiTheme="minorEastAsia" w:cstheme="minorEastAsia"/>
          <w:sz w:val="24"/>
          <w:szCs w:val="24"/>
        </w:rPr>
        <w:t>注意力的广度、稳定性、分配、转移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等</w:t>
      </w:r>
      <w:r>
        <w:rPr>
          <w:rFonts w:hint="eastAsia" w:asciiTheme="minorEastAsia" w:hAnsiTheme="minorEastAsia" w:cstheme="minorEastAsia"/>
          <w:sz w:val="24"/>
          <w:szCs w:val="24"/>
        </w:rPr>
        <w:t>儿童的注意力状况，了解儿童的注意力水平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，至少适用于</w:t>
      </w:r>
      <w:r>
        <w:rPr>
          <w:rFonts w:hint="eastAsia" w:asciiTheme="minorEastAsia" w:hAnsiTheme="minorEastAsia" w:cstheme="minorEastAsia"/>
          <w:sz w:val="24"/>
          <w:szCs w:val="24"/>
        </w:rPr>
        <w:t>5岁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以上儿童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</w:p>
    <w:p w14:paraId="3E150AAB">
      <w:pPr>
        <w:spacing w:beforeLines="0" w:line="500" w:lineRule="exact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▲6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系统方便进行档案管理，支持多种信息查询方式，如姓名，出生日期，病人查询权限需要验证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训练人员可以方便</w:t>
      </w:r>
      <w:r>
        <w:rPr>
          <w:rFonts w:hint="eastAsia" w:asciiTheme="minorEastAsia" w:hAnsiTheme="minorEastAsia" w:cstheme="minorEastAsia"/>
          <w:sz w:val="24"/>
          <w:szCs w:val="24"/>
        </w:rPr>
        <w:t>查看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及管理病人信息和</w:t>
      </w:r>
      <w:r>
        <w:rPr>
          <w:rFonts w:hint="eastAsia" w:asciiTheme="minorEastAsia" w:hAnsiTheme="minorEastAsia" w:cstheme="minorEastAsia"/>
          <w:sz w:val="24"/>
          <w:szCs w:val="24"/>
        </w:rPr>
        <w:t>报告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  <w:r>
        <w:rPr>
          <w:rFonts w:hint="eastAsia" w:asciiTheme="minorEastAsia" w:hAnsiTheme="minorEastAsia" w:cstheme="minorEastAsia"/>
          <w:sz w:val="24"/>
          <w:szCs w:val="24"/>
        </w:rPr>
        <w:t>系统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能</w:t>
      </w:r>
      <w:r>
        <w:rPr>
          <w:rFonts w:hint="eastAsia" w:asciiTheme="minorEastAsia" w:hAnsiTheme="minorEastAsia" w:cstheme="minorEastAsia"/>
          <w:sz w:val="24"/>
          <w:szCs w:val="24"/>
        </w:rPr>
        <w:t>提供报告管理功能，客户端的测评或训练数据可随时同步至管理端，达到数据互通，方便医生查看。</w:t>
      </w:r>
    </w:p>
    <w:p w14:paraId="3940694B">
      <w:pPr>
        <w:spacing w:beforeLines="0" w:line="500" w:lineRule="exact"/>
        <w:ind w:left="0" w:leftChars="0" w:firstLine="0" w:firstLineChars="0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▲7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cstheme="minorEastAsia"/>
          <w:sz w:val="24"/>
          <w:szCs w:val="24"/>
        </w:rPr>
        <w:t>系统需包括学习困难心理筛查测评量表、注意力测评、注意力训练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等</w:t>
      </w:r>
      <w:r>
        <w:rPr>
          <w:rFonts w:hint="eastAsia" w:asciiTheme="minorEastAsia" w:hAnsiTheme="minorEastAsia" w:cstheme="minorEastAsia"/>
          <w:sz w:val="24"/>
          <w:szCs w:val="24"/>
        </w:rPr>
        <w:t>功能模块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4"/>
        </w:rPr>
        <w:t>注意力训练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项目可多样化训练儿童，并分不同难度等级，可根据儿童测评情况自动匹配相应难度等级的训练</w:t>
      </w:r>
      <w:r>
        <w:rPr>
          <w:rFonts w:hint="eastAsia" w:asciiTheme="minorEastAsia" w:hAnsiTheme="minorEastAsia" w:cstheme="minorEastAsia"/>
          <w:sz w:val="24"/>
          <w:szCs w:val="24"/>
        </w:rPr>
        <w:t>项目，训练过程中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能</w:t>
      </w:r>
      <w:r>
        <w:rPr>
          <w:rFonts w:hint="eastAsia" w:asciiTheme="minorEastAsia" w:hAnsiTheme="minorEastAsia" w:cstheme="minorEastAsia"/>
          <w:sz w:val="24"/>
          <w:szCs w:val="24"/>
        </w:rPr>
        <w:t>实时监控训练过程中的脑电变化数据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。</w:t>
      </w:r>
    </w:p>
    <w:p w14:paraId="52D9433D">
      <w:pPr>
        <w:spacing w:beforeLines="0" w:line="500" w:lineRule="exact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8、</w:t>
      </w:r>
      <w:r>
        <w:rPr>
          <w:rFonts w:hint="eastAsia" w:asciiTheme="minorEastAsia" w:hAnsiTheme="minorEastAsia" w:cstheme="minorEastAsia"/>
          <w:sz w:val="24"/>
          <w:szCs w:val="24"/>
        </w:rPr>
        <w:t>档案管理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需有</w:t>
      </w:r>
      <w:r>
        <w:rPr>
          <w:rFonts w:hint="eastAsia" w:asciiTheme="minorEastAsia" w:hAnsiTheme="minorEastAsia" w:cstheme="minorEastAsia"/>
          <w:sz w:val="24"/>
          <w:szCs w:val="24"/>
        </w:rPr>
        <w:t>完整的测评、训练结果和指导建议，以及训练过程中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脑电变化情况，包括</w:t>
      </w:r>
      <w:r>
        <w:rPr>
          <w:rFonts w:hint="eastAsia" w:asciiTheme="minorEastAsia" w:hAnsiTheme="minorEastAsia" w:cstheme="minorEastAsia"/>
          <w:sz w:val="24"/>
          <w:szCs w:val="24"/>
        </w:rPr>
        <w:t>专注度、放松度数据；注意力测评报告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能</w:t>
      </w:r>
      <w:r>
        <w:rPr>
          <w:rFonts w:hint="eastAsia" w:asciiTheme="minorEastAsia" w:hAnsiTheme="minorEastAsia" w:cstheme="minorEastAsia"/>
          <w:sz w:val="24"/>
          <w:szCs w:val="24"/>
        </w:rPr>
        <w:t>记录测评过程的行为轨迹，注意力的广度、稳定性、分配、转移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等</w:t>
      </w:r>
      <w:r>
        <w:rPr>
          <w:rFonts w:hint="eastAsia" w:asciiTheme="minorEastAsia" w:hAnsiTheme="minorEastAsia" w:cstheme="minorEastAsia"/>
          <w:sz w:val="24"/>
          <w:szCs w:val="24"/>
        </w:rPr>
        <w:t>单项分，总分及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百分位情况</w:t>
      </w:r>
      <w:r>
        <w:rPr>
          <w:rFonts w:hint="eastAsia" w:asciiTheme="minorEastAsia" w:hAnsiTheme="minorEastAsia" w:cstheme="minorEastAsia"/>
          <w:sz w:val="24"/>
          <w:szCs w:val="24"/>
        </w:rPr>
        <w:t>。</w:t>
      </w:r>
    </w:p>
    <w:p w14:paraId="22AA127F">
      <w:pPr>
        <w:spacing w:beforeLines="0" w:line="500" w:lineRule="exact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▲9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数据中心应有</w:t>
      </w:r>
      <w:r>
        <w:rPr>
          <w:rFonts w:hint="eastAsia" w:asciiTheme="minorEastAsia" w:hAnsiTheme="minorEastAsia" w:cstheme="minorEastAsia"/>
          <w:sz w:val="24"/>
          <w:szCs w:val="24"/>
        </w:rPr>
        <w:t>用户基本信息的管理，包括姓名、性别、出生日期、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年级、</w:t>
      </w:r>
      <w:r>
        <w:rPr>
          <w:rFonts w:hint="eastAsia" w:asciiTheme="minorEastAsia" w:hAnsiTheme="minorEastAsia" w:cstheme="minorEastAsia"/>
          <w:sz w:val="24"/>
          <w:szCs w:val="24"/>
        </w:rPr>
        <w:t>家长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联系方式</w:t>
      </w:r>
      <w:r>
        <w:rPr>
          <w:rFonts w:hint="eastAsia" w:asciiTheme="minorEastAsia" w:hAnsiTheme="minorEastAsia" w:cstheme="minorEastAsia"/>
          <w:sz w:val="24"/>
          <w:szCs w:val="24"/>
        </w:rPr>
        <w:t>、家庭情况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等</w:t>
      </w:r>
      <w:r>
        <w:rPr>
          <w:rFonts w:hint="eastAsia" w:asciiTheme="minorEastAsia" w:hAnsiTheme="minorEastAsia" w:cstheme="minorEastAsia"/>
          <w:sz w:val="24"/>
          <w:szCs w:val="24"/>
        </w:rPr>
        <w:t>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数据可由医务人员账号进行分类管理，对</w:t>
      </w:r>
      <w:r>
        <w:rPr>
          <w:rFonts w:hint="eastAsia" w:asciiTheme="minorEastAsia" w:hAnsiTheme="minorEastAsia" w:cstheme="minorEastAsia"/>
          <w:sz w:val="24"/>
          <w:szCs w:val="24"/>
        </w:rPr>
        <w:t>用户、任务、报告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等进行</w:t>
      </w:r>
      <w:r>
        <w:rPr>
          <w:rFonts w:hint="eastAsia" w:asciiTheme="minorEastAsia" w:hAnsiTheme="minorEastAsia" w:cstheme="minorEastAsia"/>
          <w:sz w:val="24"/>
          <w:szCs w:val="24"/>
        </w:rPr>
        <w:t>管理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实现数据互通，同时还能对训练人员单独或批量操作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还可对训练者远程发布监控</w:t>
      </w:r>
      <w:r>
        <w:rPr>
          <w:rFonts w:hint="eastAsia" w:asciiTheme="minorEastAsia" w:hAnsiTheme="minorEastAsia" w:cstheme="minorEastAsia"/>
          <w:sz w:val="24"/>
          <w:szCs w:val="24"/>
        </w:rPr>
        <w:t>测评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或</w:t>
      </w:r>
      <w:r>
        <w:rPr>
          <w:rFonts w:hint="eastAsia" w:asciiTheme="minorEastAsia" w:hAnsiTheme="minorEastAsia" w:cstheme="minorEastAsia"/>
          <w:sz w:val="24"/>
          <w:szCs w:val="24"/>
        </w:rPr>
        <w:t>训练任务。</w:t>
      </w:r>
    </w:p>
    <w:p w14:paraId="004554A2">
      <w:pPr>
        <w:spacing w:beforeLines="0" w:line="500" w:lineRule="exact"/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▲10、</w:t>
      </w:r>
      <w:r>
        <w:rPr>
          <w:rFonts w:hint="eastAsia" w:asciiTheme="minorEastAsia" w:hAnsiTheme="minorEastAsia" w:cstheme="minorEastAsia"/>
          <w:sz w:val="24"/>
          <w:szCs w:val="24"/>
        </w:rPr>
        <w:t>系统提供学习困难心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理筛查测评量表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类型包括但不限于：</w:t>
      </w:r>
    </w:p>
    <w:p w14:paraId="751DF413">
      <w:pPr>
        <w:spacing w:before="0" w:beforeLines="0" w:line="500" w:lineRule="exact"/>
        <w:ind w:left="0" w:leftChars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10.1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儿童行为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类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测评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SNAP-Ⅳ评定量表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Conners父母症状问卷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Conners教师评定问卷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Achenbach儿童行为量表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2-16岁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长处和困难问卷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Vanderbilt ADHD诊断评定量表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父母及老师量表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Rutter儿童行为问卷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儿童困难问卷（QCD）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</w:p>
    <w:p w14:paraId="5988A608">
      <w:pPr>
        <w:spacing w:before="0" w:beforeLines="0" w:line="500" w:lineRule="exact"/>
        <w:ind w:left="0" w:leftChars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10.2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人格类：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儿童自我意识量表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艾森克个性问卷（7-15岁）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3-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岁儿童气质问卷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</w:p>
    <w:p w14:paraId="41743E8C">
      <w:pPr>
        <w:spacing w:before="0" w:beforeLines="0" w:line="500" w:lineRule="exact"/>
        <w:ind w:left="0" w:leftChars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10.3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社会功能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类：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Weiss功能缺陷量表（WFIRS）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儿童少年生活质量量表（QLSCA）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63F134AF">
      <w:pPr>
        <w:spacing w:before="0" w:beforeLines="0" w:line="500" w:lineRule="exact"/>
        <w:ind w:left="0" w:leftChars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10.4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情绪障碍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:儿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童焦虑性情绪障碍筛查表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SCARED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儿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童抑郁障碍自评表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DSRS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</w:p>
    <w:p w14:paraId="7A66C70E">
      <w:pPr>
        <w:spacing w:before="0" w:beforeLines="0" w:line="500" w:lineRule="exact"/>
        <w:ind w:left="0" w:leftChars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10.5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智力测验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瑞文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智力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测验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；</w:t>
      </w:r>
    </w:p>
    <w:p w14:paraId="00B85D0E">
      <w:pPr>
        <w:spacing w:beforeLines="0" w:line="5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10.6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抽动障碍类评定量表：耶鲁综合抽动严重程度量表（YGTSS）。</w:t>
      </w:r>
    </w:p>
    <w:p w14:paraId="514B017B">
      <w:pPr>
        <w:spacing w:beforeLines="0" w:line="500" w:lineRule="exac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11、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系统需采用C/S 架构,可根据硬件触屏完成所有测验或训练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；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管理端采用 B/S 架构方式，具有用户管理、任务管理、报告管理等功能。</w:t>
      </w:r>
    </w:p>
    <w:p w14:paraId="72FB546A">
      <w:pPr>
        <w:pStyle w:val="5"/>
        <w:rPr>
          <w:rFonts w:hint="default"/>
          <w:lang w:val="en-US" w:eastAsia="zh-CN"/>
        </w:rPr>
      </w:pPr>
      <w:bookmarkStart w:id="2" w:name="_GoBack"/>
      <w:bookmarkEnd w:id="2"/>
    </w:p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64454"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46D7B6"/>
    <w:multiLevelType w:val="singleLevel"/>
    <w:tmpl w:val="6946D7B6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DC691C"/>
    <w:rsid w:val="01EE0DCD"/>
    <w:rsid w:val="02554973"/>
    <w:rsid w:val="0659173C"/>
    <w:rsid w:val="0DC61272"/>
    <w:rsid w:val="13D71558"/>
    <w:rsid w:val="13FB79ED"/>
    <w:rsid w:val="1C60245D"/>
    <w:rsid w:val="1C985A0D"/>
    <w:rsid w:val="268D5A41"/>
    <w:rsid w:val="291A3AEB"/>
    <w:rsid w:val="2B796EBE"/>
    <w:rsid w:val="300817D1"/>
    <w:rsid w:val="332B5D3D"/>
    <w:rsid w:val="34DB5F9F"/>
    <w:rsid w:val="38520016"/>
    <w:rsid w:val="3D5529A7"/>
    <w:rsid w:val="3DBC3894"/>
    <w:rsid w:val="3E960D7F"/>
    <w:rsid w:val="49572CF5"/>
    <w:rsid w:val="4962387D"/>
    <w:rsid w:val="4AA97E83"/>
    <w:rsid w:val="4BBE6CC9"/>
    <w:rsid w:val="5074152A"/>
    <w:rsid w:val="57CC719B"/>
    <w:rsid w:val="5A00477A"/>
    <w:rsid w:val="5E9952E6"/>
    <w:rsid w:val="60445419"/>
    <w:rsid w:val="620D4B02"/>
    <w:rsid w:val="627D77E8"/>
    <w:rsid w:val="6A7A7481"/>
    <w:rsid w:val="6B9F1111"/>
    <w:rsid w:val="70280265"/>
    <w:rsid w:val="72D2075E"/>
    <w:rsid w:val="74324BCE"/>
    <w:rsid w:val="74D53826"/>
    <w:rsid w:val="7FCB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200" w:firstLineChars="20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5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5"/>
    <w:link w:val="6"/>
    <w:semiHidden/>
    <w:qFormat/>
    <w:uiPriority w:val="99"/>
  </w:style>
  <w:style w:type="character" w:customStyle="1" w:styleId="25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6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8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2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2991</Words>
  <Characters>3360</Characters>
  <Lines>14</Lines>
  <Paragraphs>4</Paragraphs>
  <TotalTime>143</TotalTime>
  <ScaleCrop>false</ScaleCrop>
  <LinksUpToDate>false</LinksUpToDate>
  <CharactersWithSpaces>3396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2025-03-17T06:27:00Z</cp:lastPrinted>
  <dcterms:modified xsi:type="dcterms:W3CDTF">2025-03-25T08:18:16Z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EC3FD689C5D342D799BD160DC760BFDB</vt:lpwstr>
  </property>
  <property fmtid="{D5CDD505-2E9C-101B-9397-08002B2CF9AE}" pid="4" name="KSOTemplateDocerSaveRecord">
    <vt:lpwstr>eyJoZGlkIjoiM2Y2MjE2NWRiNWExODdlZTQ4NmVmMGRlZmE1OTlkMzciLCJ1c2VySWQiOiIzODE0OTM3MTIifQ==</vt:lpwstr>
  </property>
</Properties>
</file>